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tbl>
      <w:tblPr>
        <w:tblStyle w:val="15"/>
        <w:tblpPr w:leftFromText="180" w:rightFromText="180" w:vertAnchor="text" w:tblpY="1"/>
        <w:tblOverlap w:val="never"/>
        <w:tblW w:w="8522" w:type="dxa"/>
        <w:tblInd w:w="0" w:type="dxa"/>
        <w:tblLayout w:type="fixed"/>
        <w:tblCellMar>
          <w:top w:w="0" w:type="dxa"/>
          <w:left w:w="108" w:type="dxa"/>
          <w:bottom w:w="0" w:type="dxa"/>
          <w:right w:w="108" w:type="dxa"/>
        </w:tblCellMar>
      </w:tblPr>
      <w:tblGrid>
        <w:gridCol w:w="2130"/>
        <w:gridCol w:w="2130"/>
        <w:gridCol w:w="2131"/>
        <w:gridCol w:w="2131"/>
      </w:tblGrid>
      <w:tr>
        <w:tblPrEx>
          <w:tblLayout w:type="fixed"/>
          <w:tblCellMar>
            <w:top w:w="0" w:type="dxa"/>
            <w:left w:w="108" w:type="dxa"/>
            <w:bottom w:w="0" w:type="dxa"/>
            <w:right w:w="108" w:type="dxa"/>
          </w:tblCellMar>
        </w:tblPrEx>
        <w:tc>
          <w:tcPr>
            <w:tcW w:w="2130" w:type="dxa"/>
          </w:tcPr>
          <w:p>
            <w:pPr>
              <w:spacing w:line="480" w:lineRule="auto"/>
              <w:jc w:val="center"/>
              <w:rPr>
                <w:sz w:val="28"/>
                <w:szCs w:val="28"/>
              </w:rPr>
            </w:pPr>
            <w:bookmarkStart w:id="0" w:name="_Toc236143590"/>
            <w:bookmarkStart w:id="1" w:name="_Toc259780164"/>
            <w:bookmarkStart w:id="2" w:name="_Toc237848035"/>
          </w:p>
        </w:tc>
        <w:tc>
          <w:tcPr>
            <w:tcW w:w="2130" w:type="dxa"/>
          </w:tcPr>
          <w:p>
            <w:pPr>
              <w:spacing w:line="480" w:lineRule="auto"/>
              <w:jc w:val="center"/>
              <w:rPr>
                <w:sz w:val="28"/>
                <w:szCs w:val="28"/>
              </w:rPr>
            </w:pPr>
          </w:p>
        </w:tc>
        <w:tc>
          <w:tcPr>
            <w:tcW w:w="2131" w:type="dxa"/>
          </w:tcPr>
          <w:p>
            <w:pPr>
              <w:spacing w:line="480" w:lineRule="auto"/>
              <w:jc w:val="center"/>
              <w:rPr>
                <w:sz w:val="28"/>
                <w:szCs w:val="28"/>
              </w:rPr>
            </w:pPr>
          </w:p>
        </w:tc>
        <w:tc>
          <w:tcPr>
            <w:tcW w:w="2131" w:type="dxa"/>
          </w:tcPr>
          <w:p>
            <w:pPr>
              <w:spacing w:line="480" w:lineRule="auto"/>
              <w:jc w:val="center"/>
              <w:rPr>
                <w:sz w:val="28"/>
                <w:szCs w:val="28"/>
              </w:rPr>
            </w:pPr>
          </w:p>
        </w:tc>
      </w:tr>
      <w:tr>
        <w:tblPrEx>
          <w:tblLayout w:type="fixed"/>
          <w:tblCellMar>
            <w:top w:w="0" w:type="dxa"/>
            <w:left w:w="108" w:type="dxa"/>
            <w:bottom w:w="0" w:type="dxa"/>
            <w:right w:w="108" w:type="dxa"/>
          </w:tblCellMar>
        </w:tblPrEx>
        <w:tc>
          <w:tcPr>
            <w:tcW w:w="4260" w:type="dxa"/>
            <w:gridSpan w:val="2"/>
          </w:tcPr>
          <w:p>
            <w:pPr>
              <w:spacing w:line="480" w:lineRule="auto"/>
              <w:rPr>
                <w:sz w:val="28"/>
                <w:szCs w:val="28"/>
              </w:rPr>
            </w:pPr>
            <w:r>
              <w:rPr>
                <w:sz w:val="28"/>
                <w:szCs w:val="28"/>
              </w:rPr>
              <w:t>文件版本：V1</w:t>
            </w:r>
            <w:r>
              <w:rPr>
                <w:rFonts w:hint="eastAsia"/>
                <w:sz w:val="28"/>
                <w:szCs w:val="28"/>
              </w:rPr>
              <w:t>.0</w:t>
            </w:r>
          </w:p>
        </w:tc>
        <w:tc>
          <w:tcPr>
            <w:tcW w:w="4262" w:type="dxa"/>
            <w:gridSpan w:val="2"/>
          </w:tcPr>
          <w:p>
            <w:pPr>
              <w:spacing w:line="480" w:lineRule="auto"/>
              <w:jc w:val="center"/>
              <w:rPr>
                <w:sz w:val="28"/>
                <w:szCs w:val="28"/>
              </w:rPr>
            </w:pPr>
          </w:p>
        </w:tc>
      </w:tr>
      <w:tr>
        <w:tblPrEx>
          <w:tblLayout w:type="fixed"/>
          <w:tblCellMar>
            <w:top w:w="0" w:type="dxa"/>
            <w:left w:w="108" w:type="dxa"/>
            <w:bottom w:w="0" w:type="dxa"/>
            <w:right w:w="108" w:type="dxa"/>
          </w:tblCellMar>
        </w:tblPrEx>
        <w:tc>
          <w:tcPr>
            <w:tcW w:w="2130" w:type="dxa"/>
          </w:tcPr>
          <w:p>
            <w:pPr>
              <w:spacing w:line="480" w:lineRule="auto"/>
              <w:jc w:val="center"/>
              <w:rPr>
                <w:sz w:val="28"/>
                <w:szCs w:val="28"/>
              </w:rPr>
            </w:pPr>
          </w:p>
        </w:tc>
        <w:tc>
          <w:tcPr>
            <w:tcW w:w="2130" w:type="dxa"/>
          </w:tcPr>
          <w:p>
            <w:pPr>
              <w:spacing w:line="480" w:lineRule="auto"/>
              <w:jc w:val="center"/>
              <w:rPr>
                <w:sz w:val="28"/>
                <w:szCs w:val="28"/>
              </w:rPr>
            </w:pPr>
          </w:p>
        </w:tc>
        <w:tc>
          <w:tcPr>
            <w:tcW w:w="2131" w:type="dxa"/>
          </w:tcPr>
          <w:p>
            <w:pPr>
              <w:spacing w:line="480" w:lineRule="auto"/>
              <w:jc w:val="center"/>
              <w:rPr>
                <w:sz w:val="28"/>
                <w:szCs w:val="28"/>
              </w:rPr>
            </w:pPr>
          </w:p>
        </w:tc>
        <w:tc>
          <w:tcPr>
            <w:tcW w:w="2131" w:type="dxa"/>
          </w:tcPr>
          <w:p>
            <w:pPr>
              <w:spacing w:line="480" w:lineRule="auto"/>
              <w:jc w:val="center"/>
              <w:rPr>
                <w:sz w:val="28"/>
                <w:szCs w:val="28"/>
              </w:rPr>
            </w:pPr>
          </w:p>
        </w:tc>
      </w:tr>
      <w:tr>
        <w:tblPrEx>
          <w:tblLayout w:type="fixed"/>
          <w:tblCellMar>
            <w:top w:w="0" w:type="dxa"/>
            <w:left w:w="108" w:type="dxa"/>
            <w:bottom w:w="0" w:type="dxa"/>
            <w:right w:w="108" w:type="dxa"/>
          </w:tblCellMar>
        </w:tblPrEx>
        <w:tc>
          <w:tcPr>
            <w:tcW w:w="2130" w:type="dxa"/>
          </w:tcPr>
          <w:p>
            <w:pPr>
              <w:spacing w:line="480" w:lineRule="auto"/>
              <w:jc w:val="center"/>
              <w:rPr>
                <w:sz w:val="28"/>
                <w:szCs w:val="28"/>
              </w:rPr>
            </w:pPr>
          </w:p>
        </w:tc>
        <w:tc>
          <w:tcPr>
            <w:tcW w:w="2130" w:type="dxa"/>
          </w:tcPr>
          <w:p>
            <w:pPr>
              <w:spacing w:line="480" w:lineRule="auto"/>
              <w:jc w:val="center"/>
              <w:rPr>
                <w:sz w:val="28"/>
                <w:szCs w:val="28"/>
              </w:rPr>
            </w:pPr>
          </w:p>
        </w:tc>
        <w:tc>
          <w:tcPr>
            <w:tcW w:w="2131" w:type="dxa"/>
          </w:tcPr>
          <w:p>
            <w:pPr>
              <w:spacing w:line="480" w:lineRule="auto"/>
              <w:jc w:val="center"/>
              <w:rPr>
                <w:sz w:val="28"/>
                <w:szCs w:val="28"/>
              </w:rPr>
            </w:pPr>
          </w:p>
        </w:tc>
        <w:tc>
          <w:tcPr>
            <w:tcW w:w="2131" w:type="dxa"/>
          </w:tcPr>
          <w:p>
            <w:pPr>
              <w:spacing w:line="480" w:lineRule="auto"/>
              <w:jc w:val="center"/>
              <w:rPr>
                <w:sz w:val="28"/>
                <w:szCs w:val="28"/>
              </w:rPr>
            </w:pPr>
          </w:p>
        </w:tc>
      </w:tr>
      <w:tr>
        <w:tblPrEx>
          <w:tblLayout w:type="fixed"/>
          <w:tblCellMar>
            <w:top w:w="0" w:type="dxa"/>
            <w:left w:w="108" w:type="dxa"/>
            <w:bottom w:w="0" w:type="dxa"/>
            <w:right w:w="108" w:type="dxa"/>
          </w:tblCellMar>
        </w:tblPrEx>
        <w:tc>
          <w:tcPr>
            <w:tcW w:w="2130" w:type="dxa"/>
          </w:tcPr>
          <w:p>
            <w:pPr>
              <w:spacing w:line="480" w:lineRule="auto"/>
              <w:jc w:val="center"/>
              <w:rPr>
                <w:sz w:val="28"/>
                <w:szCs w:val="28"/>
              </w:rPr>
            </w:pPr>
          </w:p>
        </w:tc>
        <w:tc>
          <w:tcPr>
            <w:tcW w:w="2130" w:type="dxa"/>
          </w:tcPr>
          <w:p>
            <w:pPr>
              <w:spacing w:line="480" w:lineRule="auto"/>
              <w:jc w:val="center"/>
              <w:rPr>
                <w:sz w:val="28"/>
                <w:szCs w:val="28"/>
              </w:rPr>
            </w:pPr>
          </w:p>
        </w:tc>
        <w:tc>
          <w:tcPr>
            <w:tcW w:w="2131" w:type="dxa"/>
          </w:tcPr>
          <w:p>
            <w:pPr>
              <w:spacing w:line="480" w:lineRule="auto"/>
              <w:jc w:val="center"/>
              <w:rPr>
                <w:sz w:val="28"/>
                <w:szCs w:val="28"/>
              </w:rPr>
            </w:pPr>
          </w:p>
        </w:tc>
        <w:tc>
          <w:tcPr>
            <w:tcW w:w="2131" w:type="dxa"/>
          </w:tcPr>
          <w:p>
            <w:pPr>
              <w:spacing w:line="480" w:lineRule="auto"/>
              <w:jc w:val="center"/>
              <w:rPr>
                <w:sz w:val="28"/>
                <w:szCs w:val="28"/>
              </w:rPr>
            </w:pPr>
          </w:p>
        </w:tc>
      </w:tr>
      <w:tr>
        <w:tblPrEx>
          <w:tblLayout w:type="fixed"/>
          <w:tblCellMar>
            <w:top w:w="0" w:type="dxa"/>
            <w:left w:w="108" w:type="dxa"/>
            <w:bottom w:w="0" w:type="dxa"/>
            <w:right w:w="108" w:type="dxa"/>
          </w:tblCellMar>
        </w:tblPrEx>
        <w:trPr>
          <w:trHeight w:val="2506" w:hRule="atLeast"/>
        </w:trPr>
        <w:tc>
          <w:tcPr>
            <w:tcW w:w="8522" w:type="dxa"/>
            <w:gridSpan w:val="4"/>
            <w:vAlign w:val="center"/>
          </w:tcPr>
          <w:p>
            <w:pPr>
              <w:spacing w:line="480" w:lineRule="auto"/>
              <w:jc w:val="center"/>
              <w:rPr>
                <w:rFonts w:ascii="黑体" w:hAnsi="黑体" w:eastAsia="黑体"/>
                <w:sz w:val="72"/>
                <w:szCs w:val="72"/>
              </w:rPr>
            </w:pPr>
            <w:r>
              <w:rPr>
                <w:rFonts w:hint="eastAsia" w:ascii="黑体" w:hAnsi="黑体" w:eastAsia="黑体"/>
                <w:sz w:val="72"/>
                <w:szCs w:val="72"/>
              </w:rPr>
              <w:t>产品分解回收循环</w:t>
            </w:r>
          </w:p>
          <w:p>
            <w:pPr>
              <w:spacing w:line="480" w:lineRule="auto"/>
              <w:jc w:val="center"/>
              <w:rPr>
                <w:sz w:val="72"/>
                <w:szCs w:val="72"/>
              </w:rPr>
            </w:pPr>
            <w:r>
              <w:rPr>
                <w:rFonts w:hint="eastAsia" w:ascii="黑体" w:hAnsi="黑体" w:eastAsia="黑体"/>
                <w:sz w:val="72"/>
                <w:szCs w:val="72"/>
              </w:rPr>
              <w:t>再利用指南</w:t>
            </w:r>
          </w:p>
        </w:tc>
      </w:tr>
      <w:tr>
        <w:tblPrEx>
          <w:tblLayout w:type="fixed"/>
          <w:tblCellMar>
            <w:top w:w="0" w:type="dxa"/>
            <w:left w:w="108" w:type="dxa"/>
            <w:bottom w:w="0" w:type="dxa"/>
            <w:right w:w="108" w:type="dxa"/>
          </w:tblCellMar>
        </w:tblPrEx>
        <w:tc>
          <w:tcPr>
            <w:tcW w:w="2130" w:type="dxa"/>
          </w:tcPr>
          <w:p>
            <w:pPr>
              <w:spacing w:line="480" w:lineRule="auto"/>
              <w:jc w:val="center"/>
              <w:rPr>
                <w:sz w:val="28"/>
                <w:szCs w:val="28"/>
              </w:rPr>
            </w:pPr>
          </w:p>
        </w:tc>
        <w:tc>
          <w:tcPr>
            <w:tcW w:w="2130" w:type="dxa"/>
          </w:tcPr>
          <w:p>
            <w:pPr>
              <w:spacing w:line="480" w:lineRule="auto"/>
              <w:jc w:val="center"/>
              <w:rPr>
                <w:sz w:val="28"/>
                <w:szCs w:val="28"/>
              </w:rPr>
            </w:pPr>
          </w:p>
        </w:tc>
        <w:tc>
          <w:tcPr>
            <w:tcW w:w="2131" w:type="dxa"/>
          </w:tcPr>
          <w:p>
            <w:pPr>
              <w:spacing w:line="480" w:lineRule="auto"/>
              <w:jc w:val="center"/>
              <w:rPr>
                <w:sz w:val="28"/>
                <w:szCs w:val="28"/>
              </w:rPr>
            </w:pPr>
          </w:p>
        </w:tc>
        <w:tc>
          <w:tcPr>
            <w:tcW w:w="2131" w:type="dxa"/>
          </w:tcPr>
          <w:p>
            <w:pPr>
              <w:spacing w:line="480" w:lineRule="auto"/>
              <w:jc w:val="center"/>
              <w:rPr>
                <w:sz w:val="28"/>
                <w:szCs w:val="28"/>
              </w:rPr>
            </w:pPr>
          </w:p>
        </w:tc>
      </w:tr>
      <w:tr>
        <w:tblPrEx>
          <w:tblLayout w:type="fixed"/>
          <w:tblCellMar>
            <w:top w:w="0" w:type="dxa"/>
            <w:left w:w="108" w:type="dxa"/>
            <w:bottom w:w="0" w:type="dxa"/>
            <w:right w:w="108" w:type="dxa"/>
          </w:tblCellMar>
        </w:tblPrEx>
        <w:tc>
          <w:tcPr>
            <w:tcW w:w="2130" w:type="dxa"/>
          </w:tcPr>
          <w:p>
            <w:pPr>
              <w:spacing w:line="480" w:lineRule="auto"/>
              <w:jc w:val="center"/>
              <w:rPr>
                <w:sz w:val="28"/>
                <w:szCs w:val="28"/>
              </w:rPr>
            </w:pPr>
          </w:p>
        </w:tc>
        <w:tc>
          <w:tcPr>
            <w:tcW w:w="2130" w:type="dxa"/>
          </w:tcPr>
          <w:p>
            <w:pPr>
              <w:spacing w:line="480" w:lineRule="auto"/>
              <w:jc w:val="center"/>
              <w:rPr>
                <w:sz w:val="28"/>
                <w:szCs w:val="28"/>
              </w:rPr>
            </w:pPr>
          </w:p>
        </w:tc>
        <w:tc>
          <w:tcPr>
            <w:tcW w:w="2131" w:type="dxa"/>
          </w:tcPr>
          <w:p>
            <w:pPr>
              <w:spacing w:line="480" w:lineRule="auto"/>
              <w:jc w:val="center"/>
              <w:rPr>
                <w:sz w:val="28"/>
                <w:szCs w:val="28"/>
              </w:rPr>
            </w:pPr>
          </w:p>
        </w:tc>
        <w:tc>
          <w:tcPr>
            <w:tcW w:w="2131" w:type="dxa"/>
          </w:tcPr>
          <w:p>
            <w:pPr>
              <w:spacing w:line="480" w:lineRule="auto"/>
              <w:jc w:val="center"/>
              <w:rPr>
                <w:sz w:val="28"/>
                <w:szCs w:val="28"/>
              </w:rPr>
            </w:pPr>
          </w:p>
        </w:tc>
      </w:tr>
      <w:tr>
        <w:tblPrEx>
          <w:tblLayout w:type="fixed"/>
          <w:tblCellMar>
            <w:top w:w="0" w:type="dxa"/>
            <w:left w:w="108" w:type="dxa"/>
            <w:bottom w:w="0" w:type="dxa"/>
            <w:right w:w="108" w:type="dxa"/>
          </w:tblCellMar>
        </w:tblPrEx>
        <w:tc>
          <w:tcPr>
            <w:tcW w:w="2130" w:type="dxa"/>
          </w:tcPr>
          <w:p>
            <w:pPr>
              <w:spacing w:line="480" w:lineRule="auto"/>
              <w:jc w:val="center"/>
              <w:rPr>
                <w:sz w:val="28"/>
                <w:szCs w:val="28"/>
              </w:rPr>
            </w:pPr>
          </w:p>
        </w:tc>
        <w:tc>
          <w:tcPr>
            <w:tcW w:w="2130" w:type="dxa"/>
          </w:tcPr>
          <w:p>
            <w:pPr>
              <w:spacing w:line="480" w:lineRule="auto"/>
              <w:jc w:val="center"/>
              <w:rPr>
                <w:sz w:val="28"/>
                <w:szCs w:val="28"/>
              </w:rPr>
            </w:pPr>
          </w:p>
        </w:tc>
        <w:tc>
          <w:tcPr>
            <w:tcW w:w="2131" w:type="dxa"/>
          </w:tcPr>
          <w:p>
            <w:pPr>
              <w:spacing w:line="480" w:lineRule="auto"/>
              <w:jc w:val="center"/>
              <w:rPr>
                <w:sz w:val="28"/>
                <w:szCs w:val="28"/>
              </w:rPr>
            </w:pPr>
          </w:p>
        </w:tc>
        <w:tc>
          <w:tcPr>
            <w:tcW w:w="2131" w:type="dxa"/>
          </w:tcPr>
          <w:p>
            <w:pPr>
              <w:spacing w:line="480" w:lineRule="auto"/>
              <w:jc w:val="center"/>
              <w:rPr>
                <w:sz w:val="28"/>
                <w:szCs w:val="28"/>
              </w:rPr>
            </w:pPr>
          </w:p>
        </w:tc>
      </w:tr>
    </w:tbl>
    <w:p>
      <w:pPr>
        <w:pStyle w:val="10"/>
        <w:pBdr>
          <w:bottom w:val="none" w:color="auto" w:sz="0" w:space="0"/>
        </w:pBdr>
        <w:tabs>
          <w:tab w:val="clear" w:pos="4153"/>
          <w:tab w:val="clear" w:pos="8306"/>
        </w:tabs>
        <w:snapToGrid/>
        <w:spacing w:line="500" w:lineRule="exact"/>
        <w:jc w:val="left"/>
        <w:rPr>
          <w:rFonts w:ascii="Times New Roman" w:hAnsi="Times New Roman"/>
          <w:spacing w:val="28"/>
          <w:sz w:val="36"/>
          <w:szCs w:val="36"/>
        </w:rPr>
      </w:pPr>
    </w:p>
    <w:p>
      <w:pPr>
        <w:spacing w:line="360" w:lineRule="auto"/>
        <w:jc w:val="center"/>
        <w:rPr>
          <w:rFonts w:ascii="黑体" w:hAnsi="黑体" w:eastAsia="黑体"/>
          <w:sz w:val="28"/>
          <w:szCs w:val="28"/>
        </w:rPr>
      </w:pPr>
      <w:bookmarkStart w:id="9" w:name="_GoBack"/>
      <w:bookmarkEnd w:id="9"/>
    </w:p>
    <w:p>
      <w:pPr>
        <w:spacing w:beforeLines="100" w:afterLines="100" w:line="360" w:lineRule="auto"/>
        <w:jc w:val="center"/>
        <w:rPr>
          <w:rFonts w:eastAsia="黑体"/>
          <w:sz w:val="32"/>
          <w:szCs w:val="32"/>
        </w:rPr>
      </w:pPr>
    </w:p>
    <w:p>
      <w:pPr>
        <w:spacing w:beforeLines="100" w:afterLines="100" w:line="360" w:lineRule="auto"/>
        <w:jc w:val="center"/>
        <w:rPr>
          <w:rFonts w:eastAsia="黑体"/>
          <w:sz w:val="32"/>
          <w:szCs w:val="32"/>
        </w:rPr>
      </w:pPr>
      <w:r>
        <w:rPr>
          <w:rFonts w:eastAsia="黑体"/>
          <w:sz w:val="32"/>
          <w:szCs w:val="32"/>
        </w:rPr>
        <w:br w:type="page"/>
      </w:r>
      <w:r>
        <w:rPr>
          <w:rFonts w:eastAsia="黑体"/>
          <w:sz w:val="32"/>
          <w:szCs w:val="32"/>
        </w:rPr>
        <w:t>目 录</w:t>
      </w:r>
    </w:p>
    <w:p>
      <w:pPr>
        <w:pStyle w:val="11"/>
        <w:tabs>
          <w:tab w:val="right" w:leader="dot" w:pos="8776"/>
        </w:tabs>
        <w:spacing w:line="360" w:lineRule="auto"/>
        <w:rPr>
          <w:rFonts w:asciiTheme="minorEastAsia" w:hAnsiTheme="minorEastAsia" w:eastAsiaTheme="minorEastAsia" w:cstheme="minorBidi"/>
          <w:bCs w:val="0"/>
          <w:caps w:val="0"/>
          <w:kern w:val="2"/>
          <w:sz w:val="21"/>
          <w:szCs w:val="22"/>
        </w:rPr>
      </w:pP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TOC \o "1-2" \h \z \u </w:instrText>
      </w:r>
      <w:r>
        <w:rPr>
          <w:rFonts w:asciiTheme="minorEastAsia" w:hAnsiTheme="minorEastAsia" w:eastAsiaTheme="minorEastAsia"/>
          <w:szCs w:val="24"/>
        </w:rPr>
        <w:fldChar w:fldCharType="separate"/>
      </w:r>
      <w:r>
        <w:fldChar w:fldCharType="begin"/>
      </w:r>
      <w:r>
        <w:instrText xml:space="preserve"> HYPERLINK \l "_Toc115161342" </w:instrText>
      </w:r>
      <w:r>
        <w:fldChar w:fldCharType="separate"/>
      </w:r>
      <w:r>
        <w:rPr>
          <w:rStyle w:val="19"/>
          <w:rFonts w:asciiTheme="minorEastAsia" w:hAnsiTheme="minorEastAsia" w:eastAsiaTheme="minorEastAsia"/>
        </w:rPr>
        <w:t xml:space="preserve">1 </w:t>
      </w:r>
      <w:r>
        <w:rPr>
          <w:rStyle w:val="19"/>
          <w:rFonts w:hint="eastAsia" w:asciiTheme="minorEastAsia" w:hAnsiTheme="minorEastAsia" w:eastAsiaTheme="minorEastAsia"/>
        </w:rPr>
        <w:t>范围</w:t>
      </w:r>
      <w:r>
        <w:rPr>
          <w:rFonts w:asciiTheme="minorEastAsia" w:hAnsiTheme="minorEastAsia" w:eastAsiaTheme="minorEastAsia"/>
        </w:rPr>
        <w:tab/>
      </w:r>
      <w:r>
        <w:rPr>
          <w:rFonts w:asciiTheme="minorEastAsia" w:hAnsiTheme="minorEastAsia" w:eastAsiaTheme="minorEastAsia"/>
        </w:rPr>
        <w:fldChar w:fldCharType="begin"/>
      </w:r>
      <w:r>
        <w:rPr>
          <w:rFonts w:asciiTheme="minorEastAsia" w:hAnsiTheme="minorEastAsia" w:eastAsiaTheme="minorEastAsia"/>
        </w:rPr>
        <w:instrText xml:space="preserve"> PAGEREF _Toc115161342 \h </w:instrText>
      </w:r>
      <w:r>
        <w:rPr>
          <w:rFonts w:asciiTheme="minorEastAsia" w:hAnsiTheme="minorEastAsia" w:eastAsiaTheme="minorEastAsia"/>
        </w:rPr>
        <w:fldChar w:fldCharType="separate"/>
      </w:r>
      <w:r>
        <w:rPr>
          <w:rFonts w:asciiTheme="minorEastAsia" w:hAnsiTheme="minorEastAsia" w:eastAsiaTheme="minorEastAsia"/>
        </w:rPr>
        <w:t>1</w:t>
      </w:r>
      <w:r>
        <w:rPr>
          <w:rFonts w:asciiTheme="minorEastAsia" w:hAnsiTheme="minorEastAsia" w:eastAsiaTheme="minorEastAsia"/>
        </w:rPr>
        <w:fldChar w:fldCharType="end"/>
      </w:r>
      <w:r>
        <w:rPr>
          <w:rFonts w:asciiTheme="minorEastAsia" w:hAnsiTheme="minorEastAsia" w:eastAsiaTheme="minorEastAsia"/>
        </w:rPr>
        <w:fldChar w:fldCharType="end"/>
      </w:r>
    </w:p>
    <w:p>
      <w:pPr>
        <w:pStyle w:val="11"/>
        <w:tabs>
          <w:tab w:val="right" w:leader="dot" w:pos="8776"/>
        </w:tabs>
        <w:spacing w:line="360" w:lineRule="auto"/>
        <w:rPr>
          <w:rFonts w:asciiTheme="minorEastAsia" w:hAnsiTheme="minorEastAsia" w:eastAsiaTheme="minorEastAsia" w:cstheme="minorBidi"/>
          <w:bCs w:val="0"/>
          <w:caps w:val="0"/>
          <w:kern w:val="2"/>
          <w:sz w:val="21"/>
          <w:szCs w:val="22"/>
        </w:rPr>
      </w:pPr>
      <w:r>
        <w:fldChar w:fldCharType="begin"/>
      </w:r>
      <w:r>
        <w:instrText xml:space="preserve"> HYPERLINK \l "_Toc115161343" </w:instrText>
      </w:r>
      <w:r>
        <w:fldChar w:fldCharType="separate"/>
      </w:r>
      <w:r>
        <w:rPr>
          <w:rStyle w:val="19"/>
          <w:rFonts w:asciiTheme="minorEastAsia" w:hAnsiTheme="minorEastAsia" w:eastAsiaTheme="minorEastAsia"/>
        </w:rPr>
        <w:t xml:space="preserve">2 </w:t>
      </w:r>
      <w:r>
        <w:rPr>
          <w:rStyle w:val="19"/>
          <w:rFonts w:hint="eastAsia" w:asciiTheme="minorEastAsia" w:hAnsiTheme="minorEastAsia" w:eastAsiaTheme="minorEastAsia"/>
        </w:rPr>
        <w:t>规范性引用文件</w:t>
      </w:r>
      <w:r>
        <w:rPr>
          <w:rFonts w:asciiTheme="minorEastAsia" w:hAnsiTheme="minorEastAsia" w:eastAsiaTheme="minorEastAsia"/>
        </w:rPr>
        <w:tab/>
      </w:r>
      <w:r>
        <w:rPr>
          <w:rFonts w:asciiTheme="minorEastAsia" w:hAnsiTheme="minorEastAsia" w:eastAsiaTheme="minorEastAsia"/>
        </w:rPr>
        <w:fldChar w:fldCharType="begin"/>
      </w:r>
      <w:r>
        <w:rPr>
          <w:rFonts w:asciiTheme="minorEastAsia" w:hAnsiTheme="minorEastAsia" w:eastAsiaTheme="minorEastAsia"/>
        </w:rPr>
        <w:instrText xml:space="preserve"> PAGEREF _Toc115161343 \h </w:instrText>
      </w:r>
      <w:r>
        <w:rPr>
          <w:rFonts w:asciiTheme="minorEastAsia" w:hAnsiTheme="minorEastAsia" w:eastAsiaTheme="minorEastAsia"/>
        </w:rPr>
        <w:fldChar w:fldCharType="separate"/>
      </w:r>
      <w:r>
        <w:rPr>
          <w:rFonts w:asciiTheme="minorEastAsia" w:hAnsiTheme="minorEastAsia" w:eastAsiaTheme="minorEastAsia"/>
        </w:rPr>
        <w:t>1</w:t>
      </w:r>
      <w:r>
        <w:rPr>
          <w:rFonts w:asciiTheme="minorEastAsia" w:hAnsiTheme="minorEastAsia" w:eastAsiaTheme="minorEastAsia"/>
        </w:rPr>
        <w:fldChar w:fldCharType="end"/>
      </w:r>
      <w:r>
        <w:rPr>
          <w:rFonts w:asciiTheme="minorEastAsia" w:hAnsiTheme="minorEastAsia" w:eastAsiaTheme="minorEastAsia"/>
        </w:rPr>
        <w:fldChar w:fldCharType="end"/>
      </w:r>
    </w:p>
    <w:p>
      <w:pPr>
        <w:pStyle w:val="11"/>
        <w:tabs>
          <w:tab w:val="right" w:leader="dot" w:pos="8776"/>
        </w:tabs>
        <w:spacing w:line="360" w:lineRule="auto"/>
        <w:rPr>
          <w:rFonts w:asciiTheme="minorEastAsia" w:hAnsiTheme="minorEastAsia" w:eastAsiaTheme="minorEastAsia" w:cstheme="minorBidi"/>
          <w:bCs w:val="0"/>
          <w:caps w:val="0"/>
          <w:kern w:val="2"/>
          <w:sz w:val="21"/>
          <w:szCs w:val="22"/>
        </w:rPr>
      </w:pPr>
      <w:r>
        <w:fldChar w:fldCharType="begin"/>
      </w:r>
      <w:r>
        <w:instrText xml:space="preserve"> HYPERLINK \l "_Toc115161344" </w:instrText>
      </w:r>
      <w:r>
        <w:fldChar w:fldCharType="separate"/>
      </w:r>
      <w:r>
        <w:rPr>
          <w:rStyle w:val="19"/>
          <w:rFonts w:asciiTheme="minorEastAsia" w:hAnsiTheme="minorEastAsia" w:eastAsiaTheme="minorEastAsia"/>
        </w:rPr>
        <w:t xml:space="preserve">3 </w:t>
      </w:r>
      <w:r>
        <w:rPr>
          <w:rStyle w:val="19"/>
          <w:rFonts w:hint="eastAsia" w:asciiTheme="minorEastAsia" w:hAnsiTheme="minorEastAsia" w:eastAsiaTheme="minorEastAsia"/>
        </w:rPr>
        <w:t>通用要求</w:t>
      </w:r>
      <w:r>
        <w:rPr>
          <w:rFonts w:asciiTheme="minorEastAsia" w:hAnsiTheme="minorEastAsia" w:eastAsiaTheme="minorEastAsia"/>
        </w:rPr>
        <w:tab/>
      </w:r>
      <w:r>
        <w:rPr>
          <w:rFonts w:asciiTheme="minorEastAsia" w:hAnsiTheme="minorEastAsia" w:eastAsiaTheme="minorEastAsia"/>
        </w:rPr>
        <w:fldChar w:fldCharType="begin"/>
      </w:r>
      <w:r>
        <w:rPr>
          <w:rFonts w:asciiTheme="minorEastAsia" w:hAnsiTheme="minorEastAsia" w:eastAsiaTheme="minorEastAsia"/>
        </w:rPr>
        <w:instrText xml:space="preserve"> PAGEREF _Toc115161344 \h </w:instrText>
      </w:r>
      <w:r>
        <w:rPr>
          <w:rFonts w:asciiTheme="minorEastAsia" w:hAnsiTheme="minorEastAsia" w:eastAsiaTheme="minorEastAsia"/>
        </w:rPr>
        <w:fldChar w:fldCharType="separate"/>
      </w:r>
      <w:r>
        <w:rPr>
          <w:rFonts w:asciiTheme="minorEastAsia" w:hAnsiTheme="minorEastAsia" w:eastAsiaTheme="minorEastAsia"/>
        </w:rPr>
        <w:t>1</w:t>
      </w:r>
      <w:r>
        <w:rPr>
          <w:rFonts w:asciiTheme="minorEastAsia" w:hAnsiTheme="minorEastAsia" w:eastAsiaTheme="minorEastAsia"/>
        </w:rPr>
        <w:fldChar w:fldCharType="end"/>
      </w:r>
      <w:r>
        <w:rPr>
          <w:rFonts w:asciiTheme="minorEastAsia" w:hAnsiTheme="minorEastAsia" w:eastAsiaTheme="minorEastAsia"/>
        </w:rPr>
        <w:fldChar w:fldCharType="end"/>
      </w:r>
    </w:p>
    <w:p>
      <w:pPr>
        <w:pStyle w:val="11"/>
        <w:tabs>
          <w:tab w:val="right" w:leader="dot" w:pos="8776"/>
        </w:tabs>
        <w:spacing w:line="360" w:lineRule="auto"/>
        <w:rPr>
          <w:rFonts w:asciiTheme="minorEastAsia" w:hAnsiTheme="minorEastAsia" w:eastAsiaTheme="minorEastAsia" w:cstheme="minorBidi"/>
          <w:bCs w:val="0"/>
          <w:caps w:val="0"/>
          <w:kern w:val="2"/>
          <w:sz w:val="21"/>
          <w:szCs w:val="22"/>
        </w:rPr>
      </w:pPr>
      <w:r>
        <w:fldChar w:fldCharType="begin"/>
      </w:r>
      <w:r>
        <w:instrText xml:space="preserve"> HYPERLINK \l "_Toc115161345" </w:instrText>
      </w:r>
      <w:r>
        <w:fldChar w:fldCharType="separate"/>
      </w:r>
      <w:r>
        <w:rPr>
          <w:rStyle w:val="19"/>
          <w:rFonts w:asciiTheme="minorEastAsia" w:hAnsiTheme="minorEastAsia" w:eastAsiaTheme="minorEastAsia"/>
        </w:rPr>
        <w:t xml:space="preserve">4 </w:t>
      </w:r>
      <w:r>
        <w:rPr>
          <w:rStyle w:val="19"/>
          <w:rFonts w:hint="eastAsia" w:asciiTheme="minorEastAsia" w:hAnsiTheme="minorEastAsia" w:eastAsiaTheme="minorEastAsia"/>
        </w:rPr>
        <w:t>拆解安全与环保要求</w:t>
      </w:r>
      <w:r>
        <w:rPr>
          <w:rFonts w:asciiTheme="minorEastAsia" w:hAnsiTheme="minorEastAsia" w:eastAsiaTheme="minorEastAsia"/>
        </w:rPr>
        <w:tab/>
      </w:r>
      <w:r>
        <w:rPr>
          <w:rFonts w:asciiTheme="minorEastAsia" w:hAnsiTheme="minorEastAsia" w:eastAsiaTheme="minorEastAsia"/>
        </w:rPr>
        <w:fldChar w:fldCharType="begin"/>
      </w:r>
      <w:r>
        <w:rPr>
          <w:rFonts w:asciiTheme="minorEastAsia" w:hAnsiTheme="minorEastAsia" w:eastAsiaTheme="minorEastAsia"/>
        </w:rPr>
        <w:instrText xml:space="preserve"> PAGEREF _Toc115161345 \h </w:instrText>
      </w:r>
      <w:r>
        <w:rPr>
          <w:rFonts w:asciiTheme="minorEastAsia" w:hAnsiTheme="minorEastAsia" w:eastAsiaTheme="minorEastAsia"/>
        </w:rPr>
        <w:fldChar w:fldCharType="separate"/>
      </w:r>
      <w:r>
        <w:rPr>
          <w:rFonts w:asciiTheme="minorEastAsia" w:hAnsiTheme="minorEastAsia" w:eastAsiaTheme="minorEastAsia"/>
        </w:rPr>
        <w:t>2</w:t>
      </w:r>
      <w:r>
        <w:rPr>
          <w:rFonts w:asciiTheme="minorEastAsia" w:hAnsiTheme="minorEastAsia" w:eastAsiaTheme="minorEastAsia"/>
        </w:rPr>
        <w:fldChar w:fldCharType="end"/>
      </w:r>
      <w:r>
        <w:rPr>
          <w:rFonts w:asciiTheme="minorEastAsia" w:hAnsiTheme="minorEastAsia" w:eastAsiaTheme="minorEastAsia"/>
        </w:rPr>
        <w:fldChar w:fldCharType="end"/>
      </w:r>
    </w:p>
    <w:p>
      <w:pPr>
        <w:pStyle w:val="11"/>
        <w:tabs>
          <w:tab w:val="right" w:leader="dot" w:pos="8776"/>
        </w:tabs>
        <w:spacing w:line="360" w:lineRule="auto"/>
        <w:rPr>
          <w:rFonts w:asciiTheme="minorEastAsia" w:hAnsiTheme="minorEastAsia" w:eastAsiaTheme="minorEastAsia" w:cstheme="minorBidi"/>
          <w:bCs w:val="0"/>
          <w:caps w:val="0"/>
          <w:kern w:val="2"/>
          <w:sz w:val="21"/>
          <w:szCs w:val="22"/>
        </w:rPr>
      </w:pPr>
      <w:r>
        <w:fldChar w:fldCharType="begin"/>
      </w:r>
      <w:r>
        <w:instrText xml:space="preserve"> HYPERLINK \l "_Toc115161346" </w:instrText>
      </w:r>
      <w:r>
        <w:fldChar w:fldCharType="separate"/>
      </w:r>
      <w:r>
        <w:rPr>
          <w:rStyle w:val="19"/>
          <w:rFonts w:asciiTheme="minorEastAsia" w:hAnsiTheme="minorEastAsia" w:eastAsiaTheme="minorEastAsia"/>
        </w:rPr>
        <w:t xml:space="preserve">5 </w:t>
      </w:r>
      <w:r>
        <w:rPr>
          <w:rStyle w:val="19"/>
          <w:rFonts w:hint="eastAsia" w:asciiTheme="minorEastAsia" w:hAnsiTheme="minorEastAsia" w:eastAsiaTheme="minorEastAsia"/>
        </w:rPr>
        <w:t>常用的再制造拆解方法</w:t>
      </w:r>
      <w:r>
        <w:rPr>
          <w:rFonts w:asciiTheme="minorEastAsia" w:hAnsiTheme="minorEastAsia" w:eastAsiaTheme="minorEastAsia"/>
        </w:rPr>
        <w:tab/>
      </w:r>
      <w:r>
        <w:rPr>
          <w:rFonts w:asciiTheme="minorEastAsia" w:hAnsiTheme="minorEastAsia" w:eastAsiaTheme="minorEastAsia"/>
        </w:rPr>
        <w:fldChar w:fldCharType="begin"/>
      </w:r>
      <w:r>
        <w:rPr>
          <w:rFonts w:asciiTheme="minorEastAsia" w:hAnsiTheme="minorEastAsia" w:eastAsiaTheme="minorEastAsia"/>
        </w:rPr>
        <w:instrText xml:space="preserve"> PAGEREF _Toc115161346 \h </w:instrText>
      </w:r>
      <w:r>
        <w:rPr>
          <w:rFonts w:asciiTheme="minorEastAsia" w:hAnsiTheme="minorEastAsia" w:eastAsiaTheme="minorEastAsia"/>
        </w:rPr>
        <w:fldChar w:fldCharType="separate"/>
      </w:r>
      <w:r>
        <w:rPr>
          <w:rFonts w:asciiTheme="minorEastAsia" w:hAnsiTheme="minorEastAsia" w:eastAsiaTheme="minorEastAsia"/>
        </w:rPr>
        <w:t>2</w:t>
      </w:r>
      <w:r>
        <w:rPr>
          <w:rFonts w:asciiTheme="minorEastAsia" w:hAnsiTheme="minorEastAsia" w:eastAsiaTheme="minorEastAsia"/>
        </w:rPr>
        <w:fldChar w:fldCharType="end"/>
      </w:r>
      <w:r>
        <w:rPr>
          <w:rFonts w:asciiTheme="minorEastAsia" w:hAnsiTheme="minorEastAsia" w:eastAsiaTheme="minorEastAsia"/>
        </w:rPr>
        <w:fldChar w:fldCharType="end"/>
      </w:r>
    </w:p>
    <w:p>
      <w:pPr>
        <w:pStyle w:val="11"/>
        <w:tabs>
          <w:tab w:val="right" w:leader="dot" w:pos="8776"/>
        </w:tabs>
        <w:spacing w:line="360" w:lineRule="auto"/>
        <w:rPr>
          <w:rFonts w:asciiTheme="minorEastAsia" w:hAnsiTheme="minorEastAsia" w:eastAsiaTheme="minorEastAsia" w:cstheme="minorBidi"/>
          <w:bCs w:val="0"/>
          <w:caps w:val="0"/>
          <w:kern w:val="2"/>
          <w:sz w:val="21"/>
          <w:szCs w:val="22"/>
        </w:rPr>
      </w:pPr>
      <w:r>
        <w:fldChar w:fldCharType="begin"/>
      </w:r>
      <w:r>
        <w:instrText xml:space="preserve"> HYPERLINK \l "_Toc115161347" </w:instrText>
      </w:r>
      <w:r>
        <w:fldChar w:fldCharType="separate"/>
      </w:r>
      <w:r>
        <w:rPr>
          <w:rStyle w:val="19"/>
          <w:rFonts w:asciiTheme="minorEastAsia" w:hAnsiTheme="minorEastAsia" w:eastAsiaTheme="minorEastAsia"/>
        </w:rPr>
        <w:t xml:space="preserve">6 </w:t>
      </w:r>
      <w:r>
        <w:rPr>
          <w:rStyle w:val="19"/>
          <w:rFonts w:hint="eastAsia" w:asciiTheme="minorEastAsia" w:hAnsiTheme="minorEastAsia" w:eastAsiaTheme="minorEastAsia"/>
        </w:rPr>
        <w:t>典型连接件的拆解方法</w:t>
      </w:r>
      <w:r>
        <w:rPr>
          <w:rFonts w:asciiTheme="minorEastAsia" w:hAnsiTheme="minorEastAsia" w:eastAsiaTheme="minorEastAsia"/>
        </w:rPr>
        <w:tab/>
      </w:r>
      <w:r>
        <w:rPr>
          <w:rFonts w:asciiTheme="minorEastAsia" w:hAnsiTheme="minorEastAsia" w:eastAsiaTheme="minorEastAsia"/>
        </w:rPr>
        <w:fldChar w:fldCharType="begin"/>
      </w:r>
      <w:r>
        <w:rPr>
          <w:rFonts w:asciiTheme="minorEastAsia" w:hAnsiTheme="minorEastAsia" w:eastAsiaTheme="minorEastAsia"/>
        </w:rPr>
        <w:instrText xml:space="preserve"> PAGEREF _Toc115161347 \h </w:instrText>
      </w:r>
      <w:r>
        <w:rPr>
          <w:rFonts w:asciiTheme="minorEastAsia" w:hAnsiTheme="minorEastAsia" w:eastAsiaTheme="minorEastAsia"/>
        </w:rPr>
        <w:fldChar w:fldCharType="separate"/>
      </w:r>
      <w:r>
        <w:rPr>
          <w:rFonts w:asciiTheme="minorEastAsia" w:hAnsiTheme="minorEastAsia" w:eastAsiaTheme="minorEastAsia"/>
        </w:rPr>
        <w:t>3</w:t>
      </w:r>
      <w:r>
        <w:rPr>
          <w:rFonts w:asciiTheme="minorEastAsia" w:hAnsiTheme="minorEastAsia" w:eastAsiaTheme="minorEastAsia"/>
        </w:rPr>
        <w:fldChar w:fldCharType="end"/>
      </w:r>
      <w:r>
        <w:rPr>
          <w:rFonts w:asciiTheme="minorEastAsia" w:hAnsiTheme="minorEastAsia" w:eastAsiaTheme="minorEastAsia"/>
        </w:rPr>
        <w:fldChar w:fldCharType="end"/>
      </w:r>
    </w:p>
    <w:p>
      <w:pPr>
        <w:pStyle w:val="10"/>
        <w:pBdr>
          <w:bottom w:val="none" w:color="auto" w:sz="0" w:space="0"/>
        </w:pBdr>
        <w:tabs>
          <w:tab w:val="clear" w:pos="4153"/>
          <w:tab w:val="clear" w:pos="8306"/>
        </w:tabs>
        <w:snapToGrid/>
        <w:spacing w:beforeLines="100" w:afterLines="100" w:line="360" w:lineRule="auto"/>
        <w:jc w:val="left"/>
        <w:rPr>
          <w:rFonts w:ascii="Times New Roman" w:hAnsi="Times New Roman"/>
        </w:rPr>
      </w:pPr>
      <w:r>
        <w:rPr>
          <w:rFonts w:asciiTheme="minorEastAsia" w:hAnsiTheme="minorEastAsia" w:eastAsiaTheme="minorEastAsia"/>
          <w:sz w:val="24"/>
          <w:szCs w:val="24"/>
        </w:rPr>
        <w:fldChar w:fldCharType="end"/>
      </w:r>
    </w:p>
    <w:p>
      <w:pPr>
        <w:pStyle w:val="10"/>
        <w:pBdr>
          <w:bottom w:val="none" w:color="auto" w:sz="0" w:space="0"/>
        </w:pBdr>
        <w:tabs>
          <w:tab w:val="clear" w:pos="4153"/>
          <w:tab w:val="clear" w:pos="8306"/>
        </w:tabs>
        <w:snapToGrid/>
        <w:spacing w:beforeLines="100" w:afterLines="100" w:line="360" w:lineRule="auto"/>
        <w:jc w:val="left"/>
        <w:rPr>
          <w:rFonts w:ascii="宋体" w:hAnsi="宋体"/>
          <w:sz w:val="24"/>
          <w:szCs w:val="24"/>
        </w:rPr>
        <w:sectPr>
          <w:headerReference r:id="rId3" w:type="default"/>
          <w:pgSz w:w="11906" w:h="16838"/>
          <w:pgMar w:top="1440" w:right="1418" w:bottom="1440" w:left="1418" w:header="851" w:footer="992" w:gutter="284"/>
          <w:cols w:space="720" w:num="1"/>
          <w:docGrid w:type="lines" w:linePitch="312" w:charSpace="0"/>
        </w:sectPr>
      </w:pPr>
    </w:p>
    <w:p>
      <w:pPr>
        <w:spacing w:line="360" w:lineRule="auto"/>
        <w:jc w:val="center"/>
        <w:rPr>
          <w:rFonts w:ascii="黑体" w:hAnsi="黑体" w:eastAsia="黑体"/>
          <w:sz w:val="32"/>
          <w:szCs w:val="32"/>
        </w:rPr>
      </w:pPr>
      <w:r>
        <w:rPr>
          <w:rFonts w:hint="eastAsia" w:ascii="黑体" w:hAnsi="黑体" w:eastAsia="黑体"/>
          <w:sz w:val="32"/>
          <w:szCs w:val="32"/>
        </w:rPr>
        <w:t>产品分解回收循环再利用指南</w:t>
      </w:r>
    </w:p>
    <w:bookmarkEnd w:id="0"/>
    <w:bookmarkEnd w:id="1"/>
    <w:bookmarkEnd w:id="2"/>
    <w:p>
      <w:pPr>
        <w:pStyle w:val="2"/>
        <w:spacing w:line="360" w:lineRule="auto"/>
        <w:rPr>
          <w:rFonts w:ascii="黑体" w:hAnsi="黑体" w:eastAsia="黑体"/>
          <w:color w:val="000000"/>
          <w:sz w:val="24"/>
          <w:szCs w:val="24"/>
        </w:rPr>
      </w:pPr>
      <w:bookmarkStart w:id="3" w:name="_Toc115161342"/>
      <w:r>
        <w:rPr>
          <w:rFonts w:hint="eastAsia" w:ascii="黑体" w:hAnsi="黑体" w:eastAsia="黑体"/>
          <w:color w:val="000000"/>
          <w:sz w:val="24"/>
          <w:szCs w:val="24"/>
        </w:rPr>
        <w:t>1 范围</w:t>
      </w:r>
      <w:bookmarkEnd w:id="3"/>
    </w:p>
    <w:p>
      <w:pPr>
        <w:spacing w:line="360" w:lineRule="auto"/>
        <w:ind w:firstLine="424" w:firstLineChars="177"/>
      </w:pPr>
      <w:r>
        <w:rPr>
          <w:rFonts w:hint="eastAsia"/>
        </w:rPr>
        <w:t>本文件规定了常州博瑞电力自动化设备有限公司产品分解回收循环再利用的通用要求、拆解安全与环保要求，并列举常用的再制造拆解方法等。</w:t>
      </w:r>
    </w:p>
    <w:p>
      <w:pPr>
        <w:spacing w:line="360" w:lineRule="auto"/>
        <w:ind w:firstLine="424" w:firstLineChars="177"/>
      </w:pPr>
      <w:r>
        <w:rPr>
          <w:rFonts w:hint="eastAsia"/>
        </w:rPr>
        <w:t>本文件适用于外部单位参照进行产品的分解回收循环再利用。</w:t>
      </w:r>
    </w:p>
    <w:p>
      <w:pPr>
        <w:pStyle w:val="2"/>
        <w:spacing w:line="360" w:lineRule="auto"/>
        <w:rPr>
          <w:rFonts w:ascii="黑体" w:hAnsi="黑体" w:eastAsia="黑体"/>
          <w:color w:val="000000"/>
          <w:sz w:val="24"/>
          <w:szCs w:val="24"/>
        </w:rPr>
      </w:pPr>
      <w:bookmarkStart w:id="4" w:name="_Toc115161343"/>
      <w:r>
        <w:rPr>
          <w:rFonts w:hint="eastAsia" w:ascii="黑体" w:hAnsi="黑体" w:eastAsia="黑体"/>
          <w:color w:val="000000"/>
          <w:sz w:val="24"/>
          <w:szCs w:val="24"/>
        </w:rPr>
        <w:t>2 规范性引用文件</w:t>
      </w:r>
      <w:bookmarkEnd w:id="4"/>
    </w:p>
    <w:p>
      <w:pPr>
        <w:spacing w:line="360" w:lineRule="auto"/>
        <w:ind w:firstLine="424" w:firstLineChars="177"/>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p>
      <w:pPr>
        <w:spacing w:line="360" w:lineRule="auto"/>
        <w:ind w:firstLine="424" w:firstLineChars="177"/>
      </w:pPr>
      <w:r>
        <w:t>GB 5085.7</w:t>
      </w:r>
      <w:r>
        <w:rPr>
          <w:rFonts w:hint="eastAsia"/>
        </w:rPr>
        <w:t>危险废物鉴别标准 通则</w:t>
      </w:r>
    </w:p>
    <w:p>
      <w:pPr>
        <w:spacing w:line="360" w:lineRule="auto"/>
        <w:ind w:firstLine="424" w:firstLineChars="177"/>
      </w:pPr>
      <w:r>
        <w:t>GB 12348</w:t>
      </w:r>
      <w:r>
        <w:rPr>
          <w:rFonts w:hint="eastAsia"/>
        </w:rPr>
        <w:t>工业企业厂界环境噪声排放标准</w:t>
      </w:r>
    </w:p>
    <w:p>
      <w:pPr>
        <w:spacing w:line="360" w:lineRule="auto"/>
        <w:ind w:firstLine="424" w:firstLineChars="177"/>
      </w:pPr>
      <w:r>
        <w:t>GB 18597</w:t>
      </w:r>
      <w:r>
        <w:rPr>
          <w:rFonts w:hint="eastAsia"/>
        </w:rPr>
        <w:t>危险废物贮存污染控制标准</w:t>
      </w:r>
    </w:p>
    <w:p>
      <w:pPr>
        <w:spacing w:line="360" w:lineRule="auto"/>
        <w:ind w:firstLine="424" w:firstLineChars="177"/>
      </w:pPr>
      <w:r>
        <w:t>GB 18599</w:t>
      </w:r>
      <w:r>
        <w:rPr>
          <w:rFonts w:hint="eastAsia"/>
        </w:rPr>
        <w:t>一般工业固体废物贮存和填埋污染控制标准</w:t>
      </w:r>
    </w:p>
    <w:p>
      <w:pPr>
        <w:spacing w:line="360" w:lineRule="auto"/>
        <w:ind w:firstLine="424" w:firstLineChars="177"/>
      </w:pPr>
      <w:r>
        <w:t>HJ 2025</w:t>
      </w:r>
      <w:r>
        <w:rPr>
          <w:rFonts w:hint="eastAsia"/>
        </w:rPr>
        <w:t>危险废物收集</w:t>
      </w:r>
      <w:r>
        <w:t xml:space="preserve"> 贮存 运输技术规范</w:t>
      </w:r>
    </w:p>
    <w:p>
      <w:pPr>
        <w:pStyle w:val="2"/>
        <w:spacing w:line="360" w:lineRule="auto"/>
        <w:rPr>
          <w:rFonts w:ascii="黑体" w:hAnsi="黑体" w:eastAsia="黑体"/>
          <w:color w:val="000000"/>
          <w:sz w:val="24"/>
          <w:szCs w:val="24"/>
        </w:rPr>
      </w:pPr>
      <w:bookmarkStart w:id="5" w:name="_Toc115161344"/>
      <w:r>
        <w:rPr>
          <w:rFonts w:hint="eastAsia" w:ascii="黑体" w:hAnsi="黑体" w:eastAsia="黑体"/>
          <w:color w:val="000000"/>
          <w:sz w:val="24"/>
          <w:szCs w:val="24"/>
        </w:rPr>
        <w:t>3 通用要求</w:t>
      </w:r>
      <w:bookmarkEnd w:id="5"/>
    </w:p>
    <w:p>
      <w:pPr>
        <w:pStyle w:val="23"/>
        <w:numPr>
          <w:ilvl w:val="0"/>
          <w:numId w:val="1"/>
        </w:numPr>
        <w:spacing w:line="360" w:lineRule="auto"/>
        <w:ind w:left="0" w:firstLine="0" w:firstLineChars="0"/>
      </w:pPr>
      <w:r>
        <w:rPr>
          <w:rFonts w:hint="eastAsia"/>
        </w:rPr>
        <w:t xml:space="preserve"> 常州博瑞电力自动化设备有限公司主营各类新型电力装备，如直流换流阀、测量装置、户外交流真空断路器、密闭式水冷却系统等。产品报废后，均具有分解回收、循环再利用的可行性。</w:t>
      </w:r>
    </w:p>
    <w:p>
      <w:pPr>
        <w:pStyle w:val="23"/>
        <w:numPr>
          <w:ilvl w:val="0"/>
          <w:numId w:val="1"/>
        </w:numPr>
        <w:spacing w:line="360" w:lineRule="auto"/>
        <w:ind w:left="0" w:firstLine="0" w:firstLineChars="0"/>
      </w:pPr>
      <w:r>
        <w:rPr>
          <w:rFonts w:hint="eastAsia"/>
        </w:rPr>
        <w:t xml:space="preserve"> 所有产品应按照产品原料类别，经非破坏性分解、准破坏性分解、破坏性分解等方式分别选取适应的工艺，进行分类回收再利用。</w:t>
      </w:r>
    </w:p>
    <w:p>
      <w:pPr>
        <w:pStyle w:val="23"/>
        <w:numPr>
          <w:ilvl w:val="0"/>
          <w:numId w:val="1"/>
        </w:numPr>
        <w:spacing w:line="360" w:lineRule="auto"/>
        <w:ind w:left="0" w:firstLine="0" w:firstLineChars="0"/>
      </w:pPr>
      <w:r>
        <w:t xml:space="preserve"> 所有产品可按照国家有关法律法规、标准、产品说明书及本指南要求进行拆解，并对可回收材料进行识别后，采取适宜的方式进行回收处理。</w:t>
      </w:r>
    </w:p>
    <w:p>
      <w:pPr>
        <w:pStyle w:val="23"/>
        <w:numPr>
          <w:ilvl w:val="0"/>
          <w:numId w:val="1"/>
        </w:numPr>
        <w:spacing w:line="360" w:lineRule="auto"/>
        <w:ind w:left="0" w:firstLine="0" w:firstLineChars="0"/>
      </w:pPr>
      <w:r>
        <w:t xml:space="preserve"> 以上回收处理工作均应在保证原材料下游客户采购质量等技术要求等基础上，由有资质的机构进行回收处理，尤其是具有再制造可能性的零部件，应按照国家有关规定让具备再制造能力的企业进行循环利用。</w:t>
      </w:r>
    </w:p>
    <w:p>
      <w:pPr>
        <w:pStyle w:val="2"/>
        <w:spacing w:line="360" w:lineRule="auto"/>
        <w:rPr>
          <w:rFonts w:ascii="黑体" w:hAnsi="黑体" w:eastAsia="黑体"/>
          <w:color w:val="000000"/>
          <w:sz w:val="24"/>
          <w:szCs w:val="24"/>
        </w:rPr>
      </w:pPr>
      <w:bookmarkStart w:id="6" w:name="_Toc115161345"/>
      <w:r>
        <w:rPr>
          <w:rFonts w:hint="eastAsia" w:ascii="黑体" w:hAnsi="黑体" w:eastAsia="黑体"/>
          <w:color w:val="000000"/>
          <w:sz w:val="24"/>
          <w:szCs w:val="24"/>
        </w:rPr>
        <w:t>4 拆解安全与环保要求</w:t>
      </w:r>
      <w:bookmarkEnd w:id="6"/>
    </w:p>
    <w:p>
      <w:pPr>
        <w:pStyle w:val="23"/>
        <w:numPr>
          <w:ilvl w:val="0"/>
          <w:numId w:val="2"/>
        </w:numPr>
        <w:spacing w:line="360" w:lineRule="auto"/>
        <w:ind w:firstLineChars="0"/>
      </w:pPr>
      <w:r>
        <w:t xml:space="preserve"> </w:t>
      </w:r>
      <w:r>
        <w:rPr>
          <w:rFonts w:hint="eastAsia"/>
        </w:rPr>
        <w:t>拆解场地应设有通风、除尘、防渗等设施。宜采用环保型拆解处理设备和工具，避免对人体和环境的影响。</w:t>
      </w:r>
    </w:p>
    <w:p>
      <w:pPr>
        <w:pStyle w:val="23"/>
        <w:numPr>
          <w:ilvl w:val="0"/>
          <w:numId w:val="2"/>
        </w:numPr>
        <w:spacing w:line="360" w:lineRule="auto"/>
        <w:ind w:left="0" w:firstLine="0" w:firstLineChars="0"/>
      </w:pPr>
      <w:r>
        <w:t xml:space="preserve"> </w:t>
      </w:r>
      <w:r>
        <w:rPr>
          <w:rFonts w:hint="eastAsia"/>
        </w:rPr>
        <w:t>拆解产生的有害固态、气态、液态废弃物应按照G</w:t>
      </w:r>
      <w:r>
        <w:t>B 5085.7</w:t>
      </w:r>
      <w:r>
        <w:rPr>
          <w:rFonts w:hint="eastAsia"/>
        </w:rPr>
        <w:t>的要求进行鉴别分类收集，并按照G</w:t>
      </w:r>
      <w:r>
        <w:t>B 18597</w:t>
      </w:r>
      <w:r>
        <w:rPr>
          <w:rFonts w:hint="eastAsia"/>
        </w:rPr>
        <w:t>、G</w:t>
      </w:r>
      <w:r>
        <w:t>B 18599</w:t>
      </w:r>
      <w:r>
        <w:rPr>
          <w:rFonts w:hint="eastAsia"/>
        </w:rPr>
        <w:t>、H</w:t>
      </w:r>
      <w:r>
        <w:t>J 2025</w:t>
      </w:r>
      <w:r>
        <w:rPr>
          <w:rFonts w:hint="eastAsia"/>
        </w:rPr>
        <w:t>等国家有关法律、法规、标准的规定处置。</w:t>
      </w:r>
    </w:p>
    <w:p>
      <w:pPr>
        <w:pStyle w:val="23"/>
        <w:numPr>
          <w:ilvl w:val="0"/>
          <w:numId w:val="2"/>
        </w:numPr>
        <w:spacing w:line="360" w:lineRule="auto"/>
        <w:ind w:left="0" w:firstLine="0" w:firstLineChars="0"/>
      </w:pPr>
      <w:r>
        <w:t xml:space="preserve"> </w:t>
      </w:r>
      <w:r>
        <w:rPr>
          <w:rFonts w:hint="eastAsia"/>
        </w:rPr>
        <w:t>拆解噪声应满足G</w:t>
      </w:r>
      <w:r>
        <w:t>B 12348</w:t>
      </w:r>
      <w:r>
        <w:rPr>
          <w:rFonts w:hint="eastAsia"/>
        </w:rPr>
        <w:t>相关要求。</w:t>
      </w:r>
    </w:p>
    <w:p>
      <w:pPr>
        <w:pStyle w:val="23"/>
        <w:numPr>
          <w:ilvl w:val="0"/>
          <w:numId w:val="2"/>
        </w:numPr>
        <w:spacing w:line="360" w:lineRule="auto"/>
        <w:ind w:left="0" w:firstLine="0" w:firstLineChars="0"/>
      </w:pPr>
      <w:r>
        <w:t xml:space="preserve"> </w:t>
      </w:r>
      <w:r>
        <w:rPr>
          <w:rFonts w:hint="eastAsia"/>
        </w:rPr>
        <w:t>应有完整的防护装备和设施，操作应严格按照相关的国家职业安全卫生法规或标准执行。</w:t>
      </w:r>
    </w:p>
    <w:p>
      <w:pPr>
        <w:pStyle w:val="2"/>
        <w:spacing w:line="360" w:lineRule="auto"/>
        <w:rPr>
          <w:rFonts w:ascii="黑体" w:hAnsi="黑体" w:eastAsia="黑体"/>
          <w:color w:val="000000"/>
          <w:sz w:val="24"/>
          <w:szCs w:val="24"/>
        </w:rPr>
      </w:pPr>
      <w:bookmarkStart w:id="7" w:name="_Toc115161346"/>
      <w:r>
        <w:rPr>
          <w:rFonts w:hint="eastAsia" w:ascii="黑体" w:hAnsi="黑体" w:eastAsia="黑体"/>
          <w:color w:val="000000"/>
          <w:sz w:val="24"/>
          <w:szCs w:val="24"/>
        </w:rPr>
        <w:t>5 常用的再制造拆解方法</w:t>
      </w:r>
      <w:bookmarkEnd w:id="7"/>
    </w:p>
    <w:p>
      <w:pPr>
        <w:spacing w:line="360" w:lineRule="auto"/>
        <w:ind w:firstLine="424" w:firstLineChars="177"/>
      </w:pPr>
      <w:r>
        <w:rPr>
          <w:rFonts w:hint="eastAsia"/>
        </w:rPr>
        <w:t>拆解方法主要包括击卸法、拉拔法、顶压法、温差法、破坏法、加热渗油法。在拆解中应根据实际情况选用，具体可参照表1。</w:t>
      </w:r>
    </w:p>
    <w:p>
      <w:pPr>
        <w:pStyle w:val="6"/>
        <w:keepNext/>
        <w:spacing w:line="360" w:lineRule="auto"/>
        <w:jc w:val="center"/>
        <w:rPr>
          <w:rFonts w:ascii="黑体" w:hAnsi="黑体"/>
          <w:sz w:val="21"/>
          <w:szCs w:val="21"/>
        </w:rPr>
      </w:pPr>
      <w:r>
        <w:rPr>
          <w:rFonts w:ascii="黑体" w:hAnsi="黑体"/>
          <w:sz w:val="21"/>
          <w:szCs w:val="21"/>
        </w:rPr>
        <w:t>表</w:t>
      </w:r>
      <w:r>
        <w:rPr>
          <w:rFonts w:ascii="黑体" w:hAnsi="黑体"/>
          <w:sz w:val="21"/>
          <w:szCs w:val="21"/>
        </w:rPr>
        <w:fldChar w:fldCharType="begin"/>
      </w:r>
      <w:r>
        <w:rPr>
          <w:rFonts w:ascii="黑体" w:hAnsi="黑体"/>
          <w:sz w:val="21"/>
          <w:szCs w:val="21"/>
        </w:rPr>
        <w:instrText xml:space="preserve"> SEQ 表格 \* ARABIC </w:instrText>
      </w:r>
      <w:r>
        <w:rPr>
          <w:rFonts w:ascii="黑体" w:hAnsi="黑体"/>
          <w:sz w:val="21"/>
          <w:szCs w:val="21"/>
        </w:rPr>
        <w:fldChar w:fldCharType="separate"/>
      </w:r>
      <w:r>
        <w:rPr>
          <w:rFonts w:ascii="黑体" w:hAnsi="黑体"/>
          <w:sz w:val="21"/>
          <w:szCs w:val="21"/>
        </w:rPr>
        <w:t>1</w:t>
      </w:r>
      <w:r>
        <w:rPr>
          <w:rFonts w:ascii="黑体" w:hAnsi="黑体"/>
          <w:sz w:val="21"/>
          <w:szCs w:val="21"/>
        </w:rPr>
        <w:fldChar w:fldCharType="end"/>
      </w:r>
      <w:r>
        <w:rPr>
          <w:rFonts w:hint="eastAsia" w:ascii="黑体" w:hAnsi="黑体"/>
          <w:sz w:val="21"/>
          <w:szCs w:val="21"/>
        </w:rPr>
        <w:t>常用的再制造拆解方法</w:t>
      </w:r>
    </w:p>
    <w:tbl>
      <w:tblPr>
        <w:tblStyle w:val="16"/>
        <w:tblW w:w="90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2977"/>
        <w:gridCol w:w="2532"/>
        <w:gridCol w:w="22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blHeader/>
        </w:trPr>
        <w:tc>
          <w:tcPr>
            <w:tcW w:w="1242" w:type="dxa"/>
            <w:vAlign w:val="center"/>
          </w:tcPr>
          <w:p>
            <w:pPr>
              <w:widowControl w:val="0"/>
              <w:spacing w:line="276" w:lineRule="auto"/>
              <w:jc w:val="center"/>
              <w:rPr>
                <w:b/>
                <w:sz w:val="21"/>
                <w:szCs w:val="21"/>
              </w:rPr>
            </w:pPr>
            <w:r>
              <w:rPr>
                <w:rFonts w:hint="eastAsia"/>
                <w:b/>
                <w:sz w:val="21"/>
                <w:szCs w:val="21"/>
              </w:rPr>
              <w:t>拆解方法</w:t>
            </w:r>
          </w:p>
        </w:tc>
        <w:tc>
          <w:tcPr>
            <w:tcW w:w="2977" w:type="dxa"/>
            <w:vAlign w:val="center"/>
          </w:tcPr>
          <w:p>
            <w:pPr>
              <w:widowControl w:val="0"/>
              <w:spacing w:line="276" w:lineRule="auto"/>
              <w:jc w:val="center"/>
              <w:rPr>
                <w:b/>
                <w:sz w:val="21"/>
                <w:szCs w:val="21"/>
              </w:rPr>
            </w:pPr>
            <w:r>
              <w:rPr>
                <w:rFonts w:hint="eastAsia"/>
                <w:b/>
                <w:sz w:val="21"/>
                <w:szCs w:val="21"/>
              </w:rPr>
              <w:t>拆解原理</w:t>
            </w:r>
          </w:p>
        </w:tc>
        <w:tc>
          <w:tcPr>
            <w:tcW w:w="2532" w:type="dxa"/>
            <w:vAlign w:val="center"/>
          </w:tcPr>
          <w:p>
            <w:pPr>
              <w:widowControl w:val="0"/>
              <w:spacing w:line="276" w:lineRule="auto"/>
              <w:jc w:val="center"/>
              <w:rPr>
                <w:b/>
                <w:sz w:val="21"/>
                <w:szCs w:val="21"/>
              </w:rPr>
            </w:pPr>
            <w:r>
              <w:rPr>
                <w:rFonts w:hint="eastAsia"/>
                <w:b/>
                <w:sz w:val="21"/>
                <w:szCs w:val="21"/>
              </w:rPr>
              <w:t>特点</w:t>
            </w:r>
          </w:p>
        </w:tc>
        <w:tc>
          <w:tcPr>
            <w:tcW w:w="2251" w:type="dxa"/>
            <w:vAlign w:val="center"/>
          </w:tcPr>
          <w:p>
            <w:pPr>
              <w:widowControl w:val="0"/>
              <w:spacing w:line="276" w:lineRule="auto"/>
              <w:jc w:val="center"/>
              <w:rPr>
                <w:b/>
                <w:sz w:val="21"/>
                <w:szCs w:val="21"/>
              </w:rPr>
            </w:pPr>
            <w:r>
              <w:rPr>
                <w:rFonts w:hint="eastAsia"/>
                <w:b/>
                <w:sz w:val="21"/>
                <w:szCs w:val="21"/>
              </w:rPr>
              <w:t>适用范围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widowControl w:val="0"/>
              <w:spacing w:line="276" w:lineRule="auto"/>
              <w:jc w:val="center"/>
              <w:rPr>
                <w:sz w:val="21"/>
                <w:szCs w:val="21"/>
              </w:rPr>
            </w:pPr>
            <w:r>
              <w:rPr>
                <w:rFonts w:hint="eastAsia"/>
                <w:sz w:val="21"/>
                <w:szCs w:val="21"/>
              </w:rPr>
              <w:t>击卸法</w:t>
            </w:r>
          </w:p>
        </w:tc>
        <w:tc>
          <w:tcPr>
            <w:tcW w:w="2977" w:type="dxa"/>
            <w:vAlign w:val="center"/>
          </w:tcPr>
          <w:p>
            <w:pPr>
              <w:widowControl w:val="0"/>
              <w:spacing w:line="276" w:lineRule="auto"/>
              <w:jc w:val="center"/>
              <w:rPr>
                <w:sz w:val="21"/>
                <w:szCs w:val="21"/>
              </w:rPr>
            </w:pPr>
            <w:r>
              <w:rPr>
                <w:rFonts w:hint="eastAsia"/>
                <w:sz w:val="21"/>
                <w:szCs w:val="21"/>
              </w:rPr>
              <w:t>利用敲击或撞击产生的冲击能量将零件拆解分离</w:t>
            </w:r>
          </w:p>
        </w:tc>
        <w:tc>
          <w:tcPr>
            <w:tcW w:w="2532" w:type="dxa"/>
            <w:vAlign w:val="center"/>
          </w:tcPr>
          <w:p>
            <w:pPr>
              <w:widowControl w:val="0"/>
              <w:spacing w:line="276" w:lineRule="auto"/>
              <w:jc w:val="center"/>
              <w:rPr>
                <w:sz w:val="21"/>
                <w:szCs w:val="21"/>
              </w:rPr>
            </w:pPr>
            <w:r>
              <w:rPr>
                <w:rFonts w:hint="eastAsia"/>
                <w:sz w:val="21"/>
                <w:szCs w:val="21"/>
              </w:rPr>
              <w:t>使用工具简单、操作灵活方便、适用范围广</w:t>
            </w:r>
          </w:p>
        </w:tc>
        <w:tc>
          <w:tcPr>
            <w:tcW w:w="2251" w:type="dxa"/>
            <w:vAlign w:val="center"/>
          </w:tcPr>
          <w:p>
            <w:pPr>
              <w:widowControl w:val="0"/>
              <w:spacing w:line="276" w:lineRule="auto"/>
              <w:jc w:val="center"/>
              <w:rPr>
                <w:sz w:val="21"/>
                <w:szCs w:val="21"/>
              </w:rPr>
            </w:pPr>
            <w:r>
              <w:rPr>
                <w:rFonts w:hint="eastAsia"/>
                <w:sz w:val="21"/>
                <w:szCs w:val="21"/>
              </w:rPr>
              <w:t>容易产生锈蚀的零件</w:t>
            </w:r>
            <w:r>
              <w:rPr>
                <w:sz w:val="21"/>
                <w:szCs w:val="21"/>
              </w:rPr>
              <w:t>,如万向</w:t>
            </w:r>
            <w:r>
              <w:rPr>
                <w:rFonts w:hint="eastAsia"/>
                <w:sz w:val="21"/>
                <w:szCs w:val="21"/>
              </w:rPr>
              <w:t>动十字轴、</w:t>
            </w:r>
            <w:r>
              <w:rPr>
                <w:sz w:val="21"/>
                <w:szCs w:val="21"/>
              </w:rPr>
              <w:t>转向摇臂</w:t>
            </w:r>
            <w:r>
              <w:rPr>
                <w:rFonts w:hint="eastAsia"/>
                <w:sz w:val="21"/>
                <w:szCs w:val="21"/>
              </w:rPr>
              <w:t>、</w:t>
            </w:r>
            <w:r>
              <w:rPr>
                <w:sz w:val="21"/>
                <w:szCs w:val="21"/>
              </w:rPr>
              <w:t>轴承等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widowControl w:val="0"/>
              <w:spacing w:line="276" w:lineRule="auto"/>
              <w:jc w:val="center"/>
              <w:rPr>
                <w:sz w:val="21"/>
                <w:szCs w:val="21"/>
              </w:rPr>
            </w:pPr>
            <w:r>
              <w:rPr>
                <w:rFonts w:hint="eastAsia"/>
                <w:sz w:val="21"/>
                <w:szCs w:val="21"/>
              </w:rPr>
              <w:t>拉拔法</w:t>
            </w:r>
          </w:p>
        </w:tc>
        <w:tc>
          <w:tcPr>
            <w:tcW w:w="2977" w:type="dxa"/>
            <w:vAlign w:val="center"/>
          </w:tcPr>
          <w:p>
            <w:pPr>
              <w:widowControl w:val="0"/>
              <w:spacing w:line="276" w:lineRule="auto"/>
              <w:jc w:val="center"/>
              <w:rPr>
                <w:sz w:val="21"/>
                <w:szCs w:val="21"/>
              </w:rPr>
            </w:pPr>
            <w:r>
              <w:rPr>
                <w:rFonts w:hint="eastAsia"/>
                <w:sz w:val="21"/>
                <w:szCs w:val="21"/>
              </w:rPr>
              <w:t>利用通用或专用工具与零部件相互作用产生的静拉力拆卸零部件</w:t>
            </w:r>
          </w:p>
        </w:tc>
        <w:tc>
          <w:tcPr>
            <w:tcW w:w="2532" w:type="dxa"/>
            <w:vAlign w:val="center"/>
          </w:tcPr>
          <w:p>
            <w:pPr>
              <w:widowControl w:val="0"/>
              <w:spacing w:line="276" w:lineRule="auto"/>
              <w:jc w:val="center"/>
              <w:rPr>
                <w:sz w:val="21"/>
                <w:szCs w:val="21"/>
              </w:rPr>
            </w:pPr>
            <w:r>
              <w:rPr>
                <w:rFonts w:hint="eastAsia"/>
                <w:sz w:val="21"/>
                <w:szCs w:val="21"/>
              </w:rPr>
              <w:t>拆解件不受冲击力、零件不易损坏</w:t>
            </w:r>
          </w:p>
        </w:tc>
        <w:tc>
          <w:tcPr>
            <w:tcW w:w="2251" w:type="dxa"/>
            <w:vAlign w:val="center"/>
          </w:tcPr>
          <w:p>
            <w:pPr>
              <w:widowControl w:val="0"/>
              <w:spacing w:line="276" w:lineRule="auto"/>
              <w:jc w:val="center"/>
              <w:rPr>
                <w:sz w:val="21"/>
                <w:szCs w:val="21"/>
              </w:rPr>
            </w:pPr>
            <w:r>
              <w:rPr>
                <w:rFonts w:hint="eastAsia"/>
                <w:sz w:val="21"/>
                <w:szCs w:val="21"/>
              </w:rPr>
              <w:t>拆解精度要求较高或无法敲击的零件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widowControl w:val="0"/>
              <w:spacing w:line="276" w:lineRule="auto"/>
              <w:jc w:val="center"/>
              <w:rPr>
                <w:sz w:val="21"/>
                <w:szCs w:val="21"/>
              </w:rPr>
            </w:pPr>
            <w:r>
              <w:rPr>
                <w:rFonts w:hint="eastAsia"/>
                <w:sz w:val="21"/>
                <w:szCs w:val="21"/>
              </w:rPr>
              <w:t>顶压法</w:t>
            </w:r>
          </w:p>
        </w:tc>
        <w:tc>
          <w:tcPr>
            <w:tcW w:w="2977" w:type="dxa"/>
            <w:vAlign w:val="center"/>
          </w:tcPr>
          <w:p>
            <w:pPr>
              <w:widowControl w:val="0"/>
              <w:spacing w:line="276" w:lineRule="auto"/>
              <w:jc w:val="center"/>
              <w:rPr>
                <w:sz w:val="21"/>
                <w:szCs w:val="21"/>
              </w:rPr>
            </w:pPr>
            <w:r>
              <w:rPr>
                <w:rFonts w:hint="eastAsia"/>
                <w:sz w:val="21"/>
                <w:szCs w:val="21"/>
              </w:rPr>
              <w:t>利用手压机</w:t>
            </w:r>
            <w:r>
              <w:rPr>
                <w:sz w:val="21"/>
                <w:szCs w:val="21"/>
              </w:rPr>
              <w:t>,油压机等工具进行的</w:t>
            </w:r>
            <w:r>
              <w:rPr>
                <w:rFonts w:hint="eastAsia"/>
                <w:sz w:val="21"/>
                <w:szCs w:val="21"/>
              </w:rPr>
              <w:t>一种静力拆解方法</w:t>
            </w:r>
          </w:p>
        </w:tc>
        <w:tc>
          <w:tcPr>
            <w:tcW w:w="2532" w:type="dxa"/>
            <w:vAlign w:val="center"/>
          </w:tcPr>
          <w:p>
            <w:pPr>
              <w:widowControl w:val="0"/>
              <w:spacing w:line="276" w:lineRule="auto"/>
              <w:jc w:val="center"/>
              <w:rPr>
                <w:sz w:val="21"/>
                <w:szCs w:val="21"/>
              </w:rPr>
            </w:pPr>
            <w:r>
              <w:rPr>
                <w:rFonts w:hint="eastAsia"/>
                <w:sz w:val="21"/>
                <w:szCs w:val="21"/>
              </w:rPr>
              <w:t>施力均匀缓慢</w:t>
            </w:r>
            <w:r>
              <w:rPr>
                <w:sz w:val="21"/>
                <w:szCs w:val="21"/>
              </w:rPr>
              <w:t>,力的大小和方</w:t>
            </w:r>
            <w:r>
              <w:rPr>
                <w:rFonts w:hint="eastAsia"/>
                <w:sz w:val="21"/>
                <w:szCs w:val="21"/>
              </w:rPr>
              <w:t>向容易控制</w:t>
            </w:r>
            <w:r>
              <w:rPr>
                <w:sz w:val="21"/>
                <w:szCs w:val="21"/>
              </w:rPr>
              <w:t>,不易损坏零件</w:t>
            </w:r>
          </w:p>
        </w:tc>
        <w:tc>
          <w:tcPr>
            <w:tcW w:w="2251" w:type="dxa"/>
            <w:vAlign w:val="center"/>
          </w:tcPr>
          <w:p>
            <w:pPr>
              <w:widowControl w:val="0"/>
              <w:spacing w:line="276" w:lineRule="auto"/>
              <w:jc w:val="center"/>
              <w:rPr>
                <w:sz w:val="21"/>
                <w:szCs w:val="21"/>
              </w:rPr>
            </w:pPr>
            <w:r>
              <w:rPr>
                <w:rFonts w:hint="eastAsia"/>
                <w:sz w:val="21"/>
                <w:szCs w:val="21"/>
              </w:rPr>
              <w:t>拆卸形状简单的过盈配合件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widowControl w:val="0"/>
              <w:spacing w:line="276" w:lineRule="auto"/>
              <w:jc w:val="center"/>
              <w:rPr>
                <w:sz w:val="21"/>
                <w:szCs w:val="21"/>
              </w:rPr>
            </w:pPr>
            <w:r>
              <w:rPr>
                <w:rFonts w:hint="eastAsia"/>
                <w:sz w:val="21"/>
                <w:szCs w:val="21"/>
              </w:rPr>
              <w:t>温差法</w:t>
            </w:r>
          </w:p>
        </w:tc>
        <w:tc>
          <w:tcPr>
            <w:tcW w:w="2977" w:type="dxa"/>
            <w:vAlign w:val="center"/>
          </w:tcPr>
          <w:p>
            <w:pPr>
              <w:widowControl w:val="0"/>
              <w:spacing w:line="276" w:lineRule="auto"/>
              <w:jc w:val="center"/>
              <w:rPr>
                <w:sz w:val="21"/>
                <w:szCs w:val="21"/>
              </w:rPr>
            </w:pPr>
            <w:r>
              <w:rPr>
                <w:rFonts w:hint="eastAsia"/>
                <w:sz w:val="21"/>
                <w:szCs w:val="21"/>
              </w:rPr>
              <w:t>利用材料热胀冷缩的性能</w:t>
            </w:r>
            <w:r>
              <w:rPr>
                <w:sz w:val="21"/>
                <w:szCs w:val="21"/>
              </w:rPr>
              <w:t>,使配合</w:t>
            </w:r>
            <w:r>
              <w:rPr>
                <w:rFonts w:hint="eastAsia"/>
                <w:sz w:val="21"/>
                <w:szCs w:val="21"/>
              </w:rPr>
              <w:t>件在温差条件下失去过盈量</w:t>
            </w:r>
            <w:r>
              <w:rPr>
                <w:sz w:val="21"/>
                <w:szCs w:val="21"/>
              </w:rPr>
              <w:t>,实现</w:t>
            </w:r>
            <w:r>
              <w:rPr>
                <w:rFonts w:hint="eastAsia"/>
                <w:sz w:val="21"/>
                <w:szCs w:val="21"/>
              </w:rPr>
              <w:t>拆解</w:t>
            </w:r>
          </w:p>
        </w:tc>
        <w:tc>
          <w:tcPr>
            <w:tcW w:w="2532" w:type="dxa"/>
            <w:vAlign w:val="center"/>
          </w:tcPr>
          <w:p>
            <w:pPr>
              <w:widowControl w:val="0"/>
              <w:spacing w:line="276" w:lineRule="auto"/>
              <w:jc w:val="center"/>
              <w:rPr>
                <w:sz w:val="21"/>
                <w:szCs w:val="21"/>
              </w:rPr>
            </w:pPr>
            <w:r>
              <w:rPr>
                <w:rFonts w:hint="eastAsia"/>
                <w:sz w:val="21"/>
                <w:szCs w:val="21"/>
              </w:rPr>
              <w:t>需要专用加热或冷却设备和工具</w:t>
            </w:r>
            <w:r>
              <w:rPr>
                <w:sz w:val="21"/>
                <w:szCs w:val="21"/>
              </w:rPr>
              <w:t>,对温度控制要求较高</w:t>
            </w:r>
          </w:p>
        </w:tc>
        <w:tc>
          <w:tcPr>
            <w:tcW w:w="2251" w:type="dxa"/>
            <w:vAlign w:val="center"/>
          </w:tcPr>
          <w:p>
            <w:pPr>
              <w:widowControl w:val="0"/>
              <w:spacing w:line="276" w:lineRule="auto"/>
              <w:jc w:val="center"/>
              <w:rPr>
                <w:sz w:val="21"/>
                <w:szCs w:val="21"/>
              </w:rPr>
            </w:pPr>
            <w:r>
              <w:rPr>
                <w:rFonts w:hint="eastAsia"/>
                <w:sz w:val="21"/>
                <w:szCs w:val="21"/>
              </w:rPr>
              <w:t>尺寸较大、配合过盈量较大及精度较高的配合件</w:t>
            </w:r>
            <w:r>
              <w:rPr>
                <w:sz w:val="21"/>
                <w:szCs w:val="21"/>
              </w:rPr>
              <w:t>,如电机轴承、</w:t>
            </w:r>
            <w:r>
              <w:rPr>
                <w:rFonts w:hint="eastAsia"/>
                <w:sz w:val="21"/>
                <w:szCs w:val="21"/>
              </w:rPr>
              <w:t>液压压力机套筒等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widowControl w:val="0"/>
              <w:spacing w:line="276" w:lineRule="auto"/>
              <w:jc w:val="center"/>
              <w:rPr>
                <w:sz w:val="21"/>
                <w:szCs w:val="21"/>
              </w:rPr>
            </w:pPr>
            <w:r>
              <w:rPr>
                <w:rFonts w:hint="eastAsia"/>
                <w:sz w:val="21"/>
                <w:szCs w:val="21"/>
              </w:rPr>
              <w:t>破坏法</w:t>
            </w:r>
          </w:p>
        </w:tc>
        <w:tc>
          <w:tcPr>
            <w:tcW w:w="2977" w:type="dxa"/>
            <w:vAlign w:val="center"/>
          </w:tcPr>
          <w:p>
            <w:pPr>
              <w:widowControl w:val="0"/>
              <w:spacing w:line="276" w:lineRule="auto"/>
              <w:jc w:val="center"/>
              <w:rPr>
                <w:sz w:val="21"/>
                <w:szCs w:val="21"/>
              </w:rPr>
            </w:pPr>
            <w:r>
              <w:rPr>
                <w:rFonts w:hint="eastAsia"/>
                <w:sz w:val="21"/>
                <w:szCs w:val="21"/>
              </w:rPr>
              <w:t>采用车、锯、镗、钻、割等方法对固定连接件进行物理分离</w:t>
            </w:r>
          </w:p>
        </w:tc>
        <w:tc>
          <w:tcPr>
            <w:tcW w:w="2532" w:type="dxa"/>
            <w:vAlign w:val="center"/>
          </w:tcPr>
          <w:p>
            <w:pPr>
              <w:widowControl w:val="0"/>
              <w:spacing w:line="276" w:lineRule="auto"/>
              <w:jc w:val="center"/>
              <w:rPr>
                <w:sz w:val="21"/>
                <w:szCs w:val="21"/>
              </w:rPr>
            </w:pPr>
            <w:r>
              <w:rPr>
                <w:rFonts w:hint="eastAsia"/>
                <w:sz w:val="21"/>
                <w:szCs w:val="21"/>
              </w:rPr>
              <w:t>拆解方式多样</w:t>
            </w:r>
            <w:r>
              <w:rPr>
                <w:sz w:val="21"/>
                <w:szCs w:val="21"/>
              </w:rPr>
              <w:t>,拆解效果存在</w:t>
            </w:r>
            <w:r>
              <w:rPr>
                <w:rFonts w:hint="eastAsia"/>
                <w:sz w:val="21"/>
                <w:szCs w:val="21"/>
              </w:rPr>
              <w:t>不确定性</w:t>
            </w:r>
          </w:p>
        </w:tc>
        <w:tc>
          <w:tcPr>
            <w:tcW w:w="2251" w:type="dxa"/>
            <w:vAlign w:val="center"/>
          </w:tcPr>
          <w:p>
            <w:pPr>
              <w:widowControl w:val="0"/>
              <w:spacing w:line="276" w:lineRule="auto"/>
              <w:jc w:val="center"/>
              <w:rPr>
                <w:sz w:val="21"/>
                <w:szCs w:val="21"/>
              </w:rPr>
            </w:pPr>
            <w:r>
              <w:rPr>
                <w:rFonts w:hint="eastAsia"/>
                <w:sz w:val="21"/>
                <w:szCs w:val="21"/>
              </w:rPr>
              <w:t>使用其他方法无法拆解的零部件</w:t>
            </w:r>
            <w:r>
              <w:rPr>
                <w:sz w:val="21"/>
                <w:szCs w:val="21"/>
              </w:rPr>
              <w:t>,如焊接件﹑铆接件或互相咬</w:t>
            </w:r>
            <w:r>
              <w:rPr>
                <w:rFonts w:hint="eastAsia"/>
                <w:sz w:val="21"/>
                <w:szCs w:val="21"/>
              </w:rPr>
              <w:t>死件等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widowControl w:val="0"/>
              <w:spacing w:line="276" w:lineRule="auto"/>
              <w:jc w:val="center"/>
              <w:rPr>
                <w:sz w:val="21"/>
                <w:szCs w:val="21"/>
              </w:rPr>
            </w:pPr>
            <w:r>
              <w:rPr>
                <w:rFonts w:hint="eastAsia"/>
                <w:sz w:val="21"/>
                <w:szCs w:val="21"/>
              </w:rPr>
              <w:t>加热渗油法</w:t>
            </w:r>
          </w:p>
        </w:tc>
        <w:tc>
          <w:tcPr>
            <w:tcW w:w="2977" w:type="dxa"/>
            <w:vAlign w:val="center"/>
          </w:tcPr>
          <w:p>
            <w:pPr>
              <w:widowControl w:val="0"/>
              <w:spacing w:line="276" w:lineRule="auto"/>
              <w:jc w:val="center"/>
              <w:rPr>
                <w:sz w:val="21"/>
                <w:szCs w:val="21"/>
              </w:rPr>
            </w:pPr>
            <w:r>
              <w:rPr>
                <w:rFonts w:hint="eastAsia"/>
                <w:sz w:val="21"/>
                <w:szCs w:val="21"/>
              </w:rPr>
              <w:t>将油液渗人零件结合面</w:t>
            </w:r>
            <w:r>
              <w:rPr>
                <w:sz w:val="21"/>
                <w:szCs w:val="21"/>
              </w:rPr>
              <w:t>,增加润</w:t>
            </w:r>
            <w:r>
              <w:rPr>
                <w:rFonts w:hint="eastAsia"/>
                <w:sz w:val="21"/>
                <w:szCs w:val="21"/>
              </w:rPr>
              <w:t>滑</w:t>
            </w:r>
            <w:r>
              <w:rPr>
                <w:sz w:val="21"/>
                <w:szCs w:val="21"/>
              </w:rPr>
              <w:t>,实现拆解</w:t>
            </w:r>
          </w:p>
        </w:tc>
        <w:tc>
          <w:tcPr>
            <w:tcW w:w="2532" w:type="dxa"/>
            <w:vAlign w:val="center"/>
          </w:tcPr>
          <w:p>
            <w:pPr>
              <w:widowControl w:val="0"/>
              <w:spacing w:line="276" w:lineRule="auto"/>
              <w:jc w:val="center"/>
              <w:rPr>
                <w:sz w:val="21"/>
                <w:szCs w:val="21"/>
              </w:rPr>
            </w:pPr>
            <w:r>
              <w:rPr>
                <w:rFonts w:hint="eastAsia"/>
                <w:sz w:val="21"/>
                <w:szCs w:val="21"/>
              </w:rPr>
              <w:t>不易擦伤零件的配合表面</w:t>
            </w:r>
          </w:p>
        </w:tc>
        <w:tc>
          <w:tcPr>
            <w:tcW w:w="2251" w:type="dxa"/>
            <w:vAlign w:val="center"/>
          </w:tcPr>
          <w:p>
            <w:pPr>
              <w:widowControl w:val="0"/>
              <w:spacing w:line="276" w:lineRule="auto"/>
              <w:jc w:val="center"/>
              <w:rPr>
                <w:sz w:val="21"/>
                <w:szCs w:val="21"/>
              </w:rPr>
            </w:pPr>
            <w:r>
              <w:rPr>
                <w:rFonts w:hint="eastAsia"/>
                <w:sz w:val="21"/>
                <w:szCs w:val="21"/>
              </w:rPr>
              <w:t>需经常拆解或有锈蚀的零部件</w:t>
            </w:r>
            <w:r>
              <w:rPr>
                <w:sz w:val="21"/>
                <w:szCs w:val="21"/>
              </w:rPr>
              <w:t>,</w:t>
            </w:r>
            <w:r>
              <w:rPr>
                <w:rFonts w:hint="eastAsia"/>
                <w:sz w:val="21"/>
                <w:szCs w:val="21"/>
              </w:rPr>
              <w:t xml:space="preserve"> 如齿轮联轴节、止推盘等零部件</w:t>
            </w:r>
          </w:p>
        </w:tc>
      </w:tr>
    </w:tbl>
    <w:p>
      <w:pPr>
        <w:pStyle w:val="2"/>
        <w:spacing w:line="360" w:lineRule="auto"/>
        <w:rPr>
          <w:rFonts w:ascii="黑体" w:hAnsi="黑体" w:eastAsia="黑体"/>
          <w:color w:val="000000"/>
          <w:sz w:val="24"/>
          <w:szCs w:val="24"/>
        </w:rPr>
      </w:pPr>
      <w:bookmarkStart w:id="8" w:name="_Toc115161347"/>
      <w:r>
        <w:rPr>
          <w:rFonts w:hint="eastAsia" w:ascii="黑体" w:hAnsi="黑体" w:eastAsia="黑体"/>
          <w:color w:val="000000"/>
          <w:sz w:val="24"/>
          <w:szCs w:val="24"/>
        </w:rPr>
        <w:t>6 典型连接件的拆解方法</w:t>
      </w:r>
      <w:bookmarkEnd w:id="8"/>
    </w:p>
    <w:p>
      <w:pPr>
        <w:spacing w:line="360" w:lineRule="auto"/>
        <w:ind w:firstLine="424" w:firstLineChars="177"/>
      </w:pPr>
      <w:r>
        <w:rPr>
          <w:rFonts w:hint="eastAsia"/>
        </w:rPr>
        <w:t>典型连接件主要包括螺纹连接件、键连接件、静止连接件、销连接件、过盈连接件、不可拆连接件和柔性连接件，拆解方法可参照表2。</w:t>
      </w:r>
    </w:p>
    <w:p>
      <w:pPr>
        <w:pStyle w:val="6"/>
        <w:keepNext/>
        <w:spacing w:line="360" w:lineRule="auto"/>
        <w:jc w:val="center"/>
        <w:rPr>
          <w:rFonts w:ascii="黑体" w:hAnsi="黑体"/>
          <w:sz w:val="21"/>
          <w:szCs w:val="21"/>
        </w:rPr>
      </w:pPr>
      <w:r>
        <w:rPr>
          <w:rFonts w:ascii="黑体" w:hAnsi="黑体"/>
          <w:sz w:val="21"/>
          <w:szCs w:val="21"/>
        </w:rPr>
        <w:t>表</w:t>
      </w:r>
      <w:r>
        <w:rPr>
          <w:rFonts w:ascii="黑体" w:hAnsi="黑体"/>
          <w:sz w:val="21"/>
          <w:szCs w:val="21"/>
        </w:rPr>
        <w:fldChar w:fldCharType="begin"/>
      </w:r>
      <w:r>
        <w:rPr>
          <w:rFonts w:ascii="黑体" w:hAnsi="黑体"/>
          <w:sz w:val="21"/>
          <w:szCs w:val="21"/>
        </w:rPr>
        <w:instrText xml:space="preserve"> SEQ 表格 \* ARABIC </w:instrText>
      </w:r>
      <w:r>
        <w:rPr>
          <w:rFonts w:ascii="黑体" w:hAnsi="黑体"/>
          <w:sz w:val="21"/>
          <w:szCs w:val="21"/>
        </w:rPr>
        <w:fldChar w:fldCharType="separate"/>
      </w:r>
      <w:r>
        <w:rPr>
          <w:rFonts w:ascii="黑体" w:hAnsi="黑体"/>
          <w:sz w:val="21"/>
          <w:szCs w:val="21"/>
        </w:rPr>
        <w:t>2</w:t>
      </w:r>
      <w:r>
        <w:rPr>
          <w:rFonts w:ascii="黑体" w:hAnsi="黑体"/>
          <w:sz w:val="21"/>
          <w:szCs w:val="21"/>
        </w:rPr>
        <w:fldChar w:fldCharType="end"/>
      </w:r>
      <w:r>
        <w:rPr>
          <w:rFonts w:hint="eastAsia" w:ascii="黑体" w:hAnsi="黑体"/>
          <w:sz w:val="21"/>
          <w:szCs w:val="21"/>
        </w:rPr>
        <w:t>典型连接件的拆解方法</w:t>
      </w:r>
    </w:p>
    <w:tbl>
      <w:tblPr>
        <w:tblStyle w:val="16"/>
        <w:tblW w:w="90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1276"/>
        <w:gridCol w:w="64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blHeader/>
        </w:trPr>
        <w:tc>
          <w:tcPr>
            <w:tcW w:w="2518" w:type="dxa"/>
            <w:gridSpan w:val="2"/>
            <w:vAlign w:val="center"/>
          </w:tcPr>
          <w:p>
            <w:pPr>
              <w:widowControl w:val="0"/>
              <w:spacing w:line="276" w:lineRule="auto"/>
              <w:jc w:val="center"/>
              <w:rPr>
                <w:rFonts w:asciiTheme="minorEastAsia" w:hAnsiTheme="minorEastAsia" w:eastAsiaTheme="minorEastAsia"/>
                <w:b/>
                <w:bCs/>
                <w:sz w:val="21"/>
                <w:szCs w:val="21"/>
              </w:rPr>
            </w:pPr>
            <w:r>
              <w:rPr>
                <w:rFonts w:hint="eastAsia" w:asciiTheme="minorEastAsia" w:hAnsiTheme="minorEastAsia" w:eastAsiaTheme="minorEastAsia"/>
                <w:b/>
                <w:bCs/>
                <w:sz w:val="21"/>
                <w:szCs w:val="21"/>
              </w:rPr>
              <w:t>连接类型</w:t>
            </w:r>
          </w:p>
        </w:tc>
        <w:tc>
          <w:tcPr>
            <w:tcW w:w="6484" w:type="dxa"/>
            <w:vAlign w:val="center"/>
          </w:tcPr>
          <w:p>
            <w:pPr>
              <w:widowControl w:val="0"/>
              <w:spacing w:line="276" w:lineRule="auto"/>
              <w:jc w:val="center"/>
              <w:rPr>
                <w:rFonts w:asciiTheme="minorEastAsia" w:hAnsiTheme="minorEastAsia" w:eastAsiaTheme="minorEastAsia"/>
                <w:b/>
                <w:bCs/>
                <w:sz w:val="21"/>
                <w:szCs w:val="21"/>
              </w:rPr>
            </w:pPr>
            <w:r>
              <w:rPr>
                <w:rFonts w:hint="eastAsia" w:asciiTheme="minorEastAsia" w:hAnsiTheme="minorEastAsia" w:eastAsiaTheme="minorEastAsia"/>
                <w:b/>
                <w:bCs/>
                <w:sz w:val="21"/>
                <w:szCs w:val="21"/>
              </w:rPr>
              <w:t>拆解方法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Merge w:val="restart"/>
            <w:vAlign w:val="center"/>
          </w:tcPr>
          <w:p>
            <w:pPr>
              <w:widowControl w:val="0"/>
              <w:spacing w:line="276"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螺纹连接</w:t>
            </w:r>
          </w:p>
        </w:tc>
        <w:tc>
          <w:tcPr>
            <w:tcW w:w="1276" w:type="dxa"/>
            <w:vAlign w:val="center"/>
          </w:tcPr>
          <w:p>
            <w:pPr>
              <w:widowControl w:val="0"/>
              <w:spacing w:line="276"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端头螺钉</w:t>
            </w:r>
          </w:p>
        </w:tc>
        <w:tc>
          <w:tcPr>
            <w:tcW w:w="6484" w:type="dxa"/>
            <w:vAlign w:val="center"/>
          </w:tcPr>
          <w:p>
            <w:pPr>
              <w:widowControl w:val="0"/>
              <w:spacing w:line="276" w:lineRule="auto"/>
              <w:jc w:val="left"/>
              <w:rPr>
                <w:rFonts w:asciiTheme="minorEastAsia" w:hAnsiTheme="minorEastAsia" w:eastAsiaTheme="minorEastAsia"/>
                <w:sz w:val="21"/>
                <w:szCs w:val="21"/>
              </w:rPr>
            </w:pPr>
            <w:r>
              <w:rPr>
                <w:rFonts w:hint="eastAsia" w:asciiTheme="minorEastAsia" w:hAnsiTheme="minorEastAsia" w:eastAsiaTheme="minorEastAsia"/>
                <w:sz w:val="21"/>
                <w:szCs w:val="21"/>
              </w:rPr>
              <w:t>断头螺钉在机体表面以上时</w:t>
            </w:r>
            <w:r>
              <w:rPr>
                <w:rFonts w:asciiTheme="minorEastAsia" w:hAnsiTheme="minorEastAsia" w:eastAsiaTheme="minorEastAsia"/>
                <w:sz w:val="21"/>
                <w:szCs w:val="21"/>
              </w:rPr>
              <w:t>,可在螺钉上钻孔,打入多角淬火钢杆后拧出</w:t>
            </w:r>
            <w:r>
              <w:rPr>
                <w:rFonts w:hint="eastAsia" w:asciiTheme="minorEastAsia" w:hAnsiTheme="minorEastAsia" w:eastAsiaTheme="minorEastAsia"/>
                <w:sz w:val="21"/>
                <w:szCs w:val="21"/>
              </w:rPr>
              <w:t>；</w:t>
            </w:r>
            <w:r>
              <w:rPr>
                <w:rFonts w:asciiTheme="minorEastAsia" w:hAnsiTheme="minorEastAsia" w:eastAsiaTheme="minorEastAsia"/>
                <w:sz w:val="21"/>
                <w:szCs w:val="21"/>
              </w:rPr>
              <w:t>断头螺钉在机体表面以下时,可在断头端中心钻孔,拧入反向骡钉后旋出</w:t>
            </w:r>
            <w:r>
              <w:rPr>
                <w:rFonts w:hint="eastAsia" w:asciiTheme="minorEastAsia" w:hAnsiTheme="minorEastAsia" w:eastAsiaTheme="minorEastAsia"/>
                <w:sz w:val="21"/>
                <w:szCs w:val="21"/>
              </w:rPr>
              <w:t>；</w:t>
            </w:r>
            <w:r>
              <w:rPr>
                <w:rFonts w:asciiTheme="minorEastAsia" w:hAnsiTheme="minorEastAsia" w:eastAsiaTheme="minorEastAsia"/>
                <w:sz w:val="21"/>
                <w:szCs w:val="21"/>
              </w:rPr>
              <w:t>当断头螺钉较粗时,也可沿螺钉圆周剔出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Merge w:val="continue"/>
            <w:vAlign w:val="center"/>
          </w:tcPr>
          <w:p>
            <w:pPr>
              <w:widowControl w:val="0"/>
              <w:spacing w:line="276" w:lineRule="auto"/>
              <w:jc w:val="center"/>
              <w:rPr>
                <w:rFonts w:asciiTheme="minorEastAsia" w:hAnsiTheme="minorEastAsia" w:eastAsiaTheme="minorEastAsia"/>
                <w:sz w:val="21"/>
                <w:szCs w:val="21"/>
              </w:rPr>
            </w:pPr>
          </w:p>
        </w:tc>
        <w:tc>
          <w:tcPr>
            <w:tcW w:w="1276" w:type="dxa"/>
            <w:vAlign w:val="center"/>
          </w:tcPr>
          <w:p>
            <w:pPr>
              <w:widowControl w:val="0"/>
              <w:spacing w:line="276"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打滑内六角螺钉</w:t>
            </w:r>
          </w:p>
        </w:tc>
        <w:tc>
          <w:tcPr>
            <w:tcW w:w="6484" w:type="dxa"/>
            <w:vAlign w:val="center"/>
          </w:tcPr>
          <w:p>
            <w:pPr>
              <w:widowControl w:val="0"/>
              <w:spacing w:line="276" w:lineRule="auto"/>
              <w:jc w:val="left"/>
              <w:rPr>
                <w:rFonts w:asciiTheme="minorEastAsia" w:hAnsiTheme="minorEastAsia" w:eastAsiaTheme="minorEastAsia"/>
                <w:sz w:val="21"/>
                <w:szCs w:val="21"/>
              </w:rPr>
            </w:pPr>
            <w:r>
              <w:rPr>
                <w:rFonts w:hint="eastAsia" w:asciiTheme="minorEastAsia" w:hAnsiTheme="minorEastAsia" w:eastAsiaTheme="minorEastAsia"/>
                <w:sz w:val="21"/>
                <w:szCs w:val="21"/>
              </w:rPr>
              <w:t>当内六角螺钉磨圆后出现打滑现象时</w:t>
            </w:r>
            <w:r>
              <w:rPr>
                <w:rFonts w:asciiTheme="minorEastAsia" w:hAnsiTheme="minorEastAsia" w:eastAsiaTheme="minorEastAsia"/>
                <w:sz w:val="21"/>
                <w:szCs w:val="21"/>
              </w:rPr>
              <w:t>,可将孔径比螺钉头外径稍小的六方螺母焊接到内六角</w:t>
            </w:r>
            <w:r>
              <w:rPr>
                <w:rFonts w:hint="eastAsia" w:asciiTheme="minorEastAsia" w:hAnsiTheme="minorEastAsia" w:eastAsiaTheme="minorEastAsia"/>
                <w:sz w:val="21"/>
                <w:szCs w:val="21"/>
              </w:rPr>
              <w:t>螺钉</w:t>
            </w:r>
            <w:r>
              <w:rPr>
                <w:rFonts w:asciiTheme="minorEastAsia" w:hAnsiTheme="minorEastAsia" w:eastAsiaTheme="minorEastAsia"/>
                <w:sz w:val="21"/>
                <w:szCs w:val="21"/>
              </w:rPr>
              <w:t>头上,用扳手拧出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Merge w:val="continue"/>
            <w:vAlign w:val="center"/>
          </w:tcPr>
          <w:p>
            <w:pPr>
              <w:widowControl w:val="0"/>
              <w:spacing w:line="276" w:lineRule="auto"/>
              <w:jc w:val="center"/>
              <w:rPr>
                <w:rFonts w:asciiTheme="minorEastAsia" w:hAnsiTheme="minorEastAsia" w:eastAsiaTheme="minorEastAsia"/>
                <w:sz w:val="21"/>
                <w:szCs w:val="21"/>
              </w:rPr>
            </w:pPr>
          </w:p>
        </w:tc>
        <w:tc>
          <w:tcPr>
            <w:tcW w:w="1276" w:type="dxa"/>
            <w:vAlign w:val="center"/>
          </w:tcPr>
          <w:p>
            <w:pPr>
              <w:widowControl w:val="0"/>
              <w:spacing w:line="276"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锈死螺纹</w:t>
            </w:r>
          </w:p>
        </w:tc>
        <w:tc>
          <w:tcPr>
            <w:tcW w:w="6484" w:type="dxa"/>
            <w:vAlign w:val="center"/>
          </w:tcPr>
          <w:p>
            <w:pPr>
              <w:widowControl w:val="0"/>
              <w:spacing w:line="276" w:lineRule="auto"/>
              <w:jc w:val="left"/>
              <w:rPr>
                <w:rFonts w:asciiTheme="minorEastAsia" w:hAnsiTheme="minorEastAsia" w:eastAsiaTheme="minorEastAsia"/>
                <w:sz w:val="21"/>
                <w:szCs w:val="21"/>
              </w:rPr>
            </w:pPr>
            <w:r>
              <w:rPr>
                <w:rFonts w:hint="eastAsia" w:asciiTheme="minorEastAsia" w:hAnsiTheme="minorEastAsia" w:eastAsiaTheme="minorEastAsia"/>
                <w:sz w:val="21"/>
                <w:szCs w:val="21"/>
              </w:rPr>
              <w:t>用煤油浸润后拆解</w:t>
            </w:r>
            <w:r>
              <w:rPr>
                <w:rFonts w:asciiTheme="minorEastAsia" w:hAnsiTheme="minorEastAsia" w:eastAsiaTheme="minorEastAsia"/>
                <w:sz w:val="21"/>
                <w:szCs w:val="21"/>
              </w:rPr>
              <w:t>,或把螺钉向拧紧方向拧动,再旋松,如此反复逐步拧出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Merge w:val="continue"/>
            <w:vAlign w:val="center"/>
          </w:tcPr>
          <w:p>
            <w:pPr>
              <w:widowControl w:val="0"/>
              <w:spacing w:line="276" w:lineRule="auto"/>
              <w:jc w:val="center"/>
              <w:rPr>
                <w:rFonts w:asciiTheme="minorEastAsia" w:hAnsiTheme="minorEastAsia" w:eastAsiaTheme="minorEastAsia"/>
                <w:sz w:val="21"/>
                <w:szCs w:val="21"/>
              </w:rPr>
            </w:pPr>
          </w:p>
        </w:tc>
        <w:tc>
          <w:tcPr>
            <w:tcW w:w="1276" w:type="dxa"/>
            <w:vAlign w:val="center"/>
          </w:tcPr>
          <w:p>
            <w:pPr>
              <w:widowControl w:val="0"/>
              <w:spacing w:line="276"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成组螺纹</w:t>
            </w:r>
          </w:p>
        </w:tc>
        <w:tc>
          <w:tcPr>
            <w:tcW w:w="6484" w:type="dxa"/>
            <w:vAlign w:val="center"/>
          </w:tcPr>
          <w:p>
            <w:pPr>
              <w:widowControl w:val="0"/>
              <w:spacing w:line="276" w:lineRule="auto"/>
              <w:jc w:val="left"/>
              <w:rPr>
                <w:rFonts w:asciiTheme="minorEastAsia" w:hAnsiTheme="minorEastAsia" w:eastAsiaTheme="minorEastAsia"/>
                <w:sz w:val="21"/>
                <w:szCs w:val="21"/>
              </w:rPr>
            </w:pPr>
            <w:r>
              <w:rPr>
                <w:rFonts w:asciiTheme="minorEastAsia" w:hAnsiTheme="minorEastAsia" w:eastAsiaTheme="minorEastAsia"/>
                <w:sz w:val="21"/>
                <w:szCs w:val="21"/>
              </w:rPr>
              <w:t>拆解</w:t>
            </w:r>
            <w:r>
              <w:rPr>
                <w:rFonts w:hint="eastAsia" w:asciiTheme="minorEastAsia" w:hAnsiTheme="minorEastAsia" w:eastAsiaTheme="minorEastAsia"/>
                <w:sz w:val="21"/>
                <w:szCs w:val="21"/>
              </w:rPr>
              <w:t>顺序</w:t>
            </w:r>
            <w:r>
              <w:rPr>
                <w:rFonts w:asciiTheme="minorEastAsia" w:hAnsiTheme="minorEastAsia" w:eastAsiaTheme="minorEastAsia"/>
                <w:sz w:val="21"/>
                <w:szCs w:val="21"/>
              </w:rPr>
              <w:t>为先四周后中间,沿对角线方向轮换拆解,同时应避免应力集中到最后的螺钉上损坏零件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Merge w:val="continue"/>
            <w:vAlign w:val="center"/>
          </w:tcPr>
          <w:p>
            <w:pPr>
              <w:widowControl w:val="0"/>
              <w:spacing w:line="276" w:lineRule="auto"/>
              <w:jc w:val="center"/>
              <w:rPr>
                <w:rFonts w:asciiTheme="minorEastAsia" w:hAnsiTheme="minorEastAsia" w:eastAsiaTheme="minorEastAsia"/>
                <w:sz w:val="21"/>
                <w:szCs w:val="21"/>
              </w:rPr>
            </w:pPr>
          </w:p>
        </w:tc>
        <w:tc>
          <w:tcPr>
            <w:tcW w:w="1276" w:type="dxa"/>
            <w:vAlign w:val="center"/>
          </w:tcPr>
          <w:p>
            <w:pPr>
              <w:widowControl w:val="0"/>
              <w:spacing w:line="276"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过盈配合螺纹</w:t>
            </w:r>
          </w:p>
        </w:tc>
        <w:tc>
          <w:tcPr>
            <w:tcW w:w="6484" w:type="dxa"/>
            <w:vAlign w:val="center"/>
          </w:tcPr>
          <w:p>
            <w:pPr>
              <w:widowControl w:val="0"/>
              <w:spacing w:line="276" w:lineRule="auto"/>
              <w:jc w:val="left"/>
              <w:rPr>
                <w:rFonts w:asciiTheme="minorEastAsia" w:hAnsiTheme="minorEastAsia" w:eastAsiaTheme="minorEastAsia"/>
                <w:sz w:val="21"/>
                <w:szCs w:val="21"/>
              </w:rPr>
            </w:pPr>
            <w:r>
              <w:rPr>
                <w:rFonts w:hint="eastAsia" w:asciiTheme="minorEastAsia" w:hAnsiTheme="minorEastAsia" w:eastAsiaTheme="minorEastAsia"/>
                <w:sz w:val="21"/>
                <w:szCs w:val="21"/>
              </w:rPr>
              <w:t>可将带内螺纹的零件加热，使其直径增大后再旋出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Merge w:val="restart"/>
            <w:vAlign w:val="center"/>
          </w:tcPr>
          <w:p>
            <w:pPr>
              <w:widowControl w:val="0"/>
              <w:spacing w:line="276"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键连接</w:t>
            </w:r>
          </w:p>
        </w:tc>
        <w:tc>
          <w:tcPr>
            <w:tcW w:w="1276" w:type="dxa"/>
            <w:vAlign w:val="center"/>
          </w:tcPr>
          <w:p>
            <w:pPr>
              <w:widowControl w:val="0"/>
              <w:spacing w:line="276"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平键连接</w:t>
            </w:r>
          </w:p>
        </w:tc>
        <w:tc>
          <w:tcPr>
            <w:tcW w:w="6484" w:type="dxa"/>
            <w:vAlign w:val="center"/>
          </w:tcPr>
          <w:p>
            <w:pPr>
              <w:widowControl w:val="0"/>
              <w:spacing w:line="276" w:lineRule="auto"/>
              <w:jc w:val="left"/>
              <w:rPr>
                <w:rFonts w:asciiTheme="minorEastAsia" w:hAnsiTheme="minorEastAsia" w:eastAsiaTheme="minorEastAsia"/>
                <w:sz w:val="21"/>
                <w:szCs w:val="21"/>
              </w:rPr>
            </w:pPr>
            <w:r>
              <w:rPr>
                <w:rFonts w:hint="eastAsia" w:asciiTheme="minorEastAsia" w:hAnsiTheme="minorEastAsia" w:eastAsiaTheme="minorEastAsia"/>
                <w:sz w:val="21"/>
                <w:szCs w:val="21"/>
              </w:rPr>
              <w:t>若健已损坏</w:t>
            </w:r>
            <w:r>
              <w:rPr>
                <w:rFonts w:asciiTheme="minorEastAsia" w:hAnsiTheme="minorEastAsia" w:eastAsiaTheme="minorEastAsia"/>
                <w:sz w:val="21"/>
                <w:szCs w:val="21"/>
              </w:rPr>
              <w:t>,可用扁玺将键擞出。当键在槽中配合过紧,可在键上钻孔、攻螺纹</w:t>
            </w:r>
            <w:r>
              <w:rPr>
                <w:rFonts w:hint="eastAsia" w:asciiTheme="minorEastAsia" w:hAnsiTheme="minorEastAsia" w:eastAsiaTheme="minorEastAsia"/>
                <w:sz w:val="21"/>
                <w:szCs w:val="21"/>
              </w:rPr>
              <w:t>，</w:t>
            </w:r>
            <w:r>
              <w:rPr>
                <w:rFonts w:asciiTheme="minorEastAsia" w:hAnsiTheme="minorEastAsia" w:eastAsiaTheme="minorEastAsia"/>
                <w:sz w:val="21"/>
                <w:szCs w:val="21"/>
              </w:rPr>
              <w:t>然后用螺钉顶出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Merge w:val="continue"/>
            <w:vAlign w:val="center"/>
          </w:tcPr>
          <w:p>
            <w:pPr>
              <w:widowControl w:val="0"/>
              <w:spacing w:line="276" w:lineRule="auto"/>
              <w:jc w:val="center"/>
              <w:rPr>
                <w:rFonts w:asciiTheme="minorEastAsia" w:hAnsiTheme="minorEastAsia" w:eastAsiaTheme="minorEastAsia"/>
                <w:sz w:val="21"/>
                <w:szCs w:val="21"/>
              </w:rPr>
            </w:pPr>
          </w:p>
        </w:tc>
        <w:tc>
          <w:tcPr>
            <w:tcW w:w="1276" w:type="dxa"/>
            <w:vAlign w:val="center"/>
          </w:tcPr>
          <w:p>
            <w:pPr>
              <w:widowControl w:val="0"/>
              <w:spacing w:line="276"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楔键连接</w:t>
            </w:r>
          </w:p>
        </w:tc>
        <w:tc>
          <w:tcPr>
            <w:tcW w:w="6484" w:type="dxa"/>
            <w:vAlign w:val="center"/>
          </w:tcPr>
          <w:p>
            <w:pPr>
              <w:widowControl w:val="0"/>
              <w:spacing w:line="276" w:lineRule="auto"/>
              <w:jc w:val="left"/>
              <w:rPr>
                <w:rFonts w:asciiTheme="minorEastAsia" w:hAnsiTheme="minorEastAsia" w:eastAsiaTheme="minorEastAsia"/>
                <w:sz w:val="21"/>
                <w:szCs w:val="21"/>
              </w:rPr>
            </w:pPr>
            <w:r>
              <w:rPr>
                <w:rFonts w:hint="eastAsia" w:asciiTheme="minorEastAsia" w:hAnsiTheme="minorEastAsia" w:eastAsiaTheme="minorEastAsia"/>
                <w:sz w:val="21"/>
                <w:szCs w:val="21"/>
              </w:rPr>
              <w:t>需注意拆解方向</w:t>
            </w:r>
            <w:r>
              <w:rPr>
                <w:rFonts w:asciiTheme="minorEastAsia" w:hAnsiTheme="minorEastAsia" w:eastAsiaTheme="minorEastAsia"/>
                <w:sz w:val="21"/>
                <w:szCs w:val="21"/>
              </w:rPr>
              <w:t>,用冲子从键较薄的一端向外冲出。若斜键上带有钩头,可用钩子拉出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518" w:type="dxa"/>
            <w:gridSpan w:val="2"/>
            <w:vAlign w:val="center"/>
          </w:tcPr>
          <w:p>
            <w:pPr>
              <w:widowControl w:val="0"/>
              <w:spacing w:line="276"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静止连接</w:t>
            </w:r>
          </w:p>
        </w:tc>
        <w:tc>
          <w:tcPr>
            <w:tcW w:w="6484" w:type="dxa"/>
            <w:vAlign w:val="center"/>
          </w:tcPr>
          <w:p>
            <w:pPr>
              <w:widowControl w:val="0"/>
              <w:spacing w:line="276" w:lineRule="auto"/>
              <w:jc w:val="left"/>
              <w:rPr>
                <w:rFonts w:asciiTheme="minorEastAsia" w:hAnsiTheme="minorEastAsia" w:eastAsiaTheme="minorEastAsia"/>
                <w:sz w:val="21"/>
                <w:szCs w:val="21"/>
              </w:rPr>
            </w:pPr>
            <w:r>
              <w:rPr>
                <w:rFonts w:hint="eastAsia" w:asciiTheme="minorEastAsia" w:hAnsiTheme="minorEastAsia" w:eastAsiaTheme="minorEastAsia"/>
                <w:sz w:val="21"/>
                <w:szCs w:val="21"/>
              </w:rPr>
              <w:t>可利用拉出器拆解</w:t>
            </w:r>
            <w:r>
              <w:rPr>
                <w:rFonts w:asciiTheme="minorEastAsia" w:hAnsiTheme="minorEastAsia" w:eastAsiaTheme="minorEastAsia"/>
                <w:sz w:val="21"/>
                <w:szCs w:val="21"/>
              </w:rPr>
              <w:t>,也可用局部加热或冷却的方法拆解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518" w:type="dxa"/>
            <w:gridSpan w:val="2"/>
            <w:vAlign w:val="center"/>
          </w:tcPr>
          <w:p>
            <w:pPr>
              <w:widowControl w:val="0"/>
              <w:spacing w:line="276"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销连接</w:t>
            </w:r>
          </w:p>
        </w:tc>
        <w:tc>
          <w:tcPr>
            <w:tcW w:w="6484" w:type="dxa"/>
            <w:vAlign w:val="center"/>
          </w:tcPr>
          <w:p>
            <w:pPr>
              <w:widowControl w:val="0"/>
              <w:spacing w:line="276" w:lineRule="auto"/>
              <w:jc w:val="left"/>
              <w:rPr>
                <w:rFonts w:asciiTheme="minorEastAsia" w:hAnsiTheme="minorEastAsia" w:eastAsiaTheme="minorEastAsia"/>
                <w:sz w:val="21"/>
                <w:szCs w:val="21"/>
              </w:rPr>
            </w:pPr>
            <w:r>
              <w:rPr>
                <w:rFonts w:hint="eastAsia" w:asciiTheme="minorEastAsia" w:hAnsiTheme="minorEastAsia" w:eastAsiaTheme="minorEastAsia"/>
                <w:sz w:val="21"/>
                <w:szCs w:val="21"/>
              </w:rPr>
              <w:t>可用直径比销钉稍小的冲子将销钉冲出。当销钉弯曲时</w:t>
            </w:r>
            <w:r>
              <w:rPr>
                <w:rFonts w:asciiTheme="minorEastAsia" w:hAnsiTheme="minorEastAsia" w:eastAsiaTheme="minorEastAsia"/>
                <w:sz w:val="21"/>
                <w:szCs w:val="21"/>
              </w:rPr>
              <w:t>,可用直径比销钉稍小的钻头钻掉销钉。圆柱定位销可用尖嘴钳拔出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518" w:type="dxa"/>
            <w:gridSpan w:val="2"/>
            <w:vAlign w:val="center"/>
          </w:tcPr>
          <w:p>
            <w:pPr>
              <w:widowControl w:val="0"/>
              <w:spacing w:line="276"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过盈连接</w:t>
            </w:r>
          </w:p>
        </w:tc>
        <w:tc>
          <w:tcPr>
            <w:tcW w:w="6484" w:type="dxa"/>
            <w:vAlign w:val="center"/>
          </w:tcPr>
          <w:p>
            <w:pPr>
              <w:widowControl w:val="0"/>
              <w:spacing w:line="276" w:lineRule="auto"/>
              <w:jc w:val="left"/>
              <w:rPr>
                <w:rFonts w:asciiTheme="minorEastAsia" w:hAnsiTheme="minorEastAsia" w:eastAsiaTheme="minorEastAsia"/>
                <w:sz w:val="21"/>
                <w:szCs w:val="21"/>
              </w:rPr>
            </w:pPr>
            <w:r>
              <w:rPr>
                <w:rFonts w:hint="eastAsia" w:asciiTheme="minorEastAsia" w:hAnsiTheme="minorEastAsia" w:eastAsiaTheme="minorEastAsia"/>
                <w:sz w:val="21"/>
                <w:szCs w:val="21"/>
              </w:rPr>
              <w:t>首先检查有无定位销、螺钉等附加定位或固定装置</w:t>
            </w:r>
            <w:r>
              <w:rPr>
                <w:rFonts w:asciiTheme="minorEastAsia" w:hAnsiTheme="minorEastAsia" w:eastAsiaTheme="minorEastAsia"/>
                <w:sz w:val="21"/>
                <w:szCs w:val="21"/>
              </w:rPr>
              <w:t>,然后视零件配合的松紧程度由松至紧,依次用锥、棒、拉出器、压力机等工具或设备拆解。过盈量过大时可加热包容件或冷却被包容件后迅速压出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518" w:type="dxa"/>
            <w:gridSpan w:val="2"/>
            <w:vAlign w:val="center"/>
          </w:tcPr>
          <w:p>
            <w:pPr>
              <w:widowControl w:val="0"/>
              <w:spacing w:line="276"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不可拆连接</w:t>
            </w:r>
          </w:p>
        </w:tc>
        <w:tc>
          <w:tcPr>
            <w:tcW w:w="6484" w:type="dxa"/>
            <w:vAlign w:val="center"/>
          </w:tcPr>
          <w:p>
            <w:pPr>
              <w:widowControl w:val="0"/>
              <w:spacing w:line="276" w:lineRule="auto"/>
              <w:jc w:val="left"/>
              <w:rPr>
                <w:rFonts w:asciiTheme="minorEastAsia" w:hAnsiTheme="minorEastAsia" w:eastAsiaTheme="minorEastAsia"/>
                <w:sz w:val="21"/>
                <w:szCs w:val="21"/>
              </w:rPr>
            </w:pPr>
            <w:r>
              <w:rPr>
                <w:rFonts w:hint="eastAsia" w:asciiTheme="minorEastAsia" w:hAnsiTheme="minorEastAsia" w:eastAsiaTheme="minorEastAsia"/>
                <w:sz w:val="21"/>
                <w:szCs w:val="21"/>
              </w:rPr>
              <w:t>焊接件或铆接件可用锯割</w:t>
            </w:r>
            <w:r>
              <w:rPr>
                <w:rFonts w:asciiTheme="minorEastAsia" w:hAnsiTheme="minorEastAsia" w:eastAsiaTheme="minorEastAsia"/>
                <w:sz w:val="21"/>
                <w:szCs w:val="21"/>
              </w:rPr>
              <w:t>,扁墅切割、气割等方式破坏拆解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518" w:type="dxa"/>
            <w:gridSpan w:val="2"/>
            <w:vAlign w:val="center"/>
          </w:tcPr>
          <w:p>
            <w:pPr>
              <w:widowControl w:val="0"/>
              <w:spacing w:line="276"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柔性连接</w:t>
            </w:r>
          </w:p>
        </w:tc>
        <w:tc>
          <w:tcPr>
            <w:tcW w:w="6484" w:type="dxa"/>
            <w:vAlign w:val="center"/>
          </w:tcPr>
          <w:p>
            <w:pPr>
              <w:widowControl w:val="0"/>
              <w:spacing w:line="276" w:lineRule="auto"/>
              <w:jc w:val="left"/>
              <w:rPr>
                <w:rFonts w:asciiTheme="minorEastAsia" w:hAnsiTheme="minorEastAsia" w:eastAsiaTheme="minorEastAsia"/>
                <w:sz w:val="21"/>
                <w:szCs w:val="21"/>
              </w:rPr>
            </w:pPr>
            <w:r>
              <w:rPr>
                <w:rFonts w:hint="eastAsia" w:asciiTheme="minorEastAsia" w:hAnsiTheme="minorEastAsia" w:eastAsiaTheme="minorEastAsia"/>
                <w:sz w:val="21"/>
                <w:szCs w:val="21"/>
              </w:rPr>
              <w:t>对柔性管连接按照螺纹连接的方法进行拆解</w:t>
            </w:r>
            <w:r>
              <w:rPr>
                <w:rFonts w:asciiTheme="minorEastAsia" w:hAnsiTheme="minorEastAsia" w:eastAsiaTheme="minorEastAsia"/>
                <w:sz w:val="21"/>
                <w:szCs w:val="21"/>
              </w:rPr>
              <w:t>,对钢丝连接可用剪切工具进行剪切拆解。如软轴轴套与轴头之间没有锈蚀,宜按螺纹连接的方式拆解,如发生锈蚀可用液压剪对软轴进行剪切处理</w:t>
            </w:r>
          </w:p>
        </w:tc>
      </w:tr>
    </w:tbl>
    <w:p>
      <w:pPr>
        <w:spacing w:line="360" w:lineRule="auto"/>
      </w:pPr>
    </w:p>
    <w:sectPr>
      <w:footerReference r:id="rId4" w:type="default"/>
      <w:pgSz w:w="11906" w:h="16838"/>
      <w:pgMar w:top="1440" w:right="1418" w:bottom="1440" w:left="1418" w:header="851" w:footer="992" w:gutter="284"/>
      <w:pgNumType w:start="1"/>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altName w:val="Kingsoft Confetti"/>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Arial"/>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Kingsoft Confetti">
    <w:panose1 w:val="05000100010000000000"/>
    <w:charset w:val="00"/>
    <w:family w:val="auto"/>
    <w:pitch w:val="default"/>
    <w:sig w:usb0="00000000" w:usb1="00000000" w:usb2="00000000" w:usb3="00000000" w:csb0="8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00000000" w:usb2="00000000" w:usb3="00000000" w:csb0="80000000" w:csb1="00000000"/>
  </w:font>
  <w:font w:name="Arial">
    <w:panose1 w:val="020B0604020202020204"/>
    <w:charset w:val="00"/>
    <w:family w:val="auto"/>
    <w:pitch w:val="default"/>
    <w:sig w:usb0="E0002AFF" w:usb1="C0007843" w:usb2="00000009" w:usb3="00000000" w:csb0="400001FF" w:csb1="FFFF0000"/>
  </w:font>
  <w:font w:name="Calibri Light">
    <w:altName w:val="Arial"/>
    <w:panose1 w:val="020F0302020204030204"/>
    <w:charset w:val="00"/>
    <w:family w:val="swiss"/>
    <w:pitch w:val="default"/>
    <w:sig w:usb0="00000000" w:usb1="00000000" w:usb2="00000009" w:usb3="00000000" w:csb0="000001FF" w:csb1="00000000"/>
  </w:font>
  <w:font w:name="Plotter">
    <w:altName w:val="Arial"/>
    <w:panose1 w:val="00000000000000000000"/>
    <w:charset w:val="00"/>
    <w:family w:val="modern"/>
    <w:pitch w:val="default"/>
    <w:sig w:usb0="00000000" w:usb1="00000000" w:usb2="00000000" w:usb3="00000000" w:csb0="00000001" w:csb1="00000000"/>
  </w:font>
  <w:font w:name="Cambria">
    <w:altName w:val="Georgia"/>
    <w:panose1 w:val="02040503050406030204"/>
    <w:charset w:val="00"/>
    <w:family w:val="roman"/>
    <w:pitch w:val="default"/>
    <w:sig w:usb0="00000000" w:usb1="00000000" w:usb2="02000000" w:usb3="00000000" w:csb0="0000019F" w:csb1="00000000"/>
  </w:font>
  <w:font w:name="隶书">
    <w:altName w:val="汉仪书宋二KW"/>
    <w:panose1 w:val="02010509060101010101"/>
    <w:charset w:val="86"/>
    <w:family w:val="modern"/>
    <w:pitch w:val="default"/>
    <w:sig w:usb0="00000000" w:usb1="00000000" w:usb2="00000010" w:usb3="00000000" w:csb0="00040000" w:csb1="00000000"/>
  </w:font>
  <w:font w:name="Georgia">
    <w:panose1 w:val="02040502050405020303"/>
    <w:charset w:val="00"/>
    <w:family w:val="auto"/>
    <w:pitch w:val="default"/>
    <w:sig w:usb0="00000287" w:usb1="00000000" w:usb2="00000000" w:usb3="00000000" w:csb0="2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rStyle w:val="18"/>
        <w:rFonts w:hint="eastAsia"/>
      </w:rPr>
      <w:t xml:space="preserve">第  </w:t>
    </w:r>
    <w:r>
      <w:fldChar w:fldCharType="begin"/>
    </w:r>
    <w:r>
      <w:rPr>
        <w:rStyle w:val="18"/>
      </w:rPr>
      <w:instrText xml:space="preserve">PAGE  </w:instrText>
    </w:r>
    <w:r>
      <w:fldChar w:fldCharType="separate"/>
    </w:r>
    <w:r>
      <w:rPr>
        <w:rStyle w:val="18"/>
      </w:rPr>
      <w:t>3</w:t>
    </w:r>
    <w:r>
      <w:fldChar w:fldCharType="end"/>
    </w:r>
    <w:r>
      <w:rPr>
        <w:rStyle w:val="18"/>
        <w:rFonts w:hint="eastAsia"/>
      </w:rPr>
      <w:t xml:space="preserve">  页  共  </w:t>
    </w:r>
    <w:r>
      <w:fldChar w:fldCharType="begin"/>
    </w:r>
    <w:r>
      <w:instrText xml:space="preserve"> SECTIONPAGES  \* Arabic  \* MERGEFORMAT </w:instrText>
    </w:r>
    <w:r>
      <w:fldChar w:fldCharType="separate"/>
    </w:r>
    <w:r>
      <w:rPr>
        <w:rStyle w:val="18"/>
      </w:rPr>
      <w:t>3</w:t>
    </w:r>
    <w:r>
      <w:rPr>
        <w:rStyle w:val="18"/>
      </w:rPr>
      <w:fldChar w:fldCharType="end"/>
    </w:r>
    <w:r>
      <w:rPr>
        <w:rStyle w:val="18"/>
        <w:rFonts w:hint="eastAsia"/>
      </w:rPr>
      <w:t xml:space="preserve">  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15"/>
      <w:tblW w:w="9002" w:type="dxa"/>
      <w:tblInd w:w="0" w:type="dxa"/>
      <w:tblLayout w:type="fixed"/>
      <w:tblCellMar>
        <w:top w:w="0" w:type="dxa"/>
        <w:left w:w="108" w:type="dxa"/>
        <w:bottom w:w="0" w:type="dxa"/>
        <w:right w:w="108" w:type="dxa"/>
      </w:tblCellMar>
    </w:tblPr>
    <w:tblGrid>
      <w:gridCol w:w="1800"/>
      <w:gridCol w:w="5401"/>
      <w:gridCol w:w="1801"/>
    </w:tblGrid>
    <w:tr>
      <w:tblPrEx>
        <w:tblLayout w:type="fixed"/>
        <w:tblCellMar>
          <w:top w:w="0" w:type="dxa"/>
          <w:left w:w="108" w:type="dxa"/>
          <w:bottom w:w="0" w:type="dxa"/>
          <w:right w:w="108" w:type="dxa"/>
        </w:tblCellMar>
      </w:tblPrEx>
      <w:tc>
        <w:tcPr>
          <w:tcW w:w="1800" w:type="dxa"/>
          <w:vAlign w:val="center"/>
        </w:tcPr>
        <w:p>
          <w:pPr>
            <w:pStyle w:val="10"/>
            <w:widowControl w:val="0"/>
            <w:pBdr>
              <w:bottom w:val="none" w:color="auto" w:sz="0" w:space="0"/>
            </w:pBdr>
            <w:rPr>
              <w:rFonts w:ascii="宋体" w:hAnsi="宋体"/>
              <w:sz w:val="21"/>
              <w:szCs w:val="21"/>
            </w:rPr>
          </w:pPr>
          <w:r>
            <w:rPr>
              <w:rFonts w:hint="eastAsia" w:ascii="宋体" w:hAnsi="宋体"/>
              <w:b/>
              <w:bCs/>
              <w:sz w:val="21"/>
            </w:rPr>
            <w:drawing>
              <wp:inline distT="0" distB="0" distL="0" distR="0">
                <wp:extent cx="457200" cy="191135"/>
                <wp:effectExtent l="19050" t="0" r="0" b="0"/>
                <wp:docPr id="4" name="图片 6" descr="NR商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6" descr="NR商标"/>
                        <pic:cNvPicPr>
                          <a:picLocks noChangeAspect="1" noChangeArrowheads="1"/>
                        </pic:cNvPicPr>
                      </pic:nvPicPr>
                      <pic:blipFill>
                        <a:blip r:embed="rId1"/>
                        <a:srcRect/>
                        <a:stretch>
                          <a:fillRect/>
                        </a:stretch>
                      </pic:blipFill>
                      <pic:spPr>
                        <a:xfrm>
                          <a:off x="0" y="0"/>
                          <a:ext cx="457200" cy="191135"/>
                        </a:xfrm>
                        <a:prstGeom prst="rect">
                          <a:avLst/>
                        </a:prstGeom>
                        <a:noFill/>
                        <a:ln w="9525">
                          <a:noFill/>
                          <a:miter lim="800000"/>
                          <a:headEnd/>
                          <a:tailEnd/>
                        </a:ln>
                      </pic:spPr>
                    </pic:pic>
                  </a:graphicData>
                </a:graphic>
              </wp:inline>
            </w:drawing>
          </w:r>
        </w:p>
      </w:tc>
      <w:tc>
        <w:tcPr>
          <w:tcW w:w="5401" w:type="dxa"/>
          <w:vAlign w:val="center"/>
        </w:tcPr>
        <w:p>
          <w:pPr>
            <w:pStyle w:val="10"/>
            <w:widowControl w:val="0"/>
            <w:pBdr>
              <w:bottom w:val="none" w:color="auto" w:sz="0" w:space="0"/>
            </w:pBdr>
            <w:rPr>
              <w:rFonts w:ascii="宋体" w:hAnsi="宋体"/>
              <w:sz w:val="24"/>
              <w:szCs w:val="24"/>
            </w:rPr>
          </w:pPr>
          <w:r>
            <w:rPr>
              <w:rFonts w:hint="eastAsia"/>
              <w:sz w:val="24"/>
              <w:szCs w:val="24"/>
            </w:rPr>
            <w:t>产品分解回收循环再利用指南</w:t>
          </w:r>
        </w:p>
      </w:tc>
      <w:tc>
        <w:tcPr>
          <w:tcW w:w="1801" w:type="dxa"/>
          <w:vAlign w:val="center"/>
        </w:tcPr>
        <w:p>
          <w:pPr>
            <w:pStyle w:val="10"/>
            <w:widowControl w:val="0"/>
            <w:pBdr>
              <w:bottom w:val="none" w:color="auto" w:sz="0" w:space="0"/>
            </w:pBdr>
            <w:rPr>
              <w:rFonts w:ascii="宋体" w:hAnsi="宋体"/>
              <w:sz w:val="24"/>
              <w:szCs w:val="24"/>
            </w:rPr>
          </w:pPr>
        </w:p>
      </w:tc>
    </w:tr>
  </w:tbl>
  <w:p>
    <w:pPr>
      <w:pStyle w:val="10"/>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5956B4"/>
    <w:multiLevelType w:val="multilevel"/>
    <w:tmpl w:val="1F5956B4"/>
    <w:lvl w:ilvl="0" w:tentative="0">
      <w:start w:val="1"/>
      <w:numFmt w:val="decimal"/>
      <w:lvlText w:val="4.%1"/>
      <w:lvlJc w:val="left"/>
      <w:pPr>
        <w:ind w:left="420" w:hanging="420"/>
      </w:pPr>
      <w:rPr>
        <w:rFonts w:hint="eastAsia"/>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6129266A"/>
    <w:multiLevelType w:val="multilevel"/>
    <w:tmpl w:val="6129266A"/>
    <w:lvl w:ilvl="0" w:tentative="0">
      <w:start w:val="1"/>
      <w:numFmt w:val="decimal"/>
      <w:lvlText w:val="3.%1"/>
      <w:lvlJc w:val="left"/>
      <w:pPr>
        <w:ind w:left="420" w:hanging="420"/>
      </w:pPr>
      <w:rPr>
        <w:rFonts w:hint="eastAsia" w:ascii="隶书" w:hAnsi="黑体" w:eastAsia="隶书" w:cs="Times New Roman"/>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mirrorMargins w:val="1"/>
  <w:bordersDoNotSurroundHeader w:val="1"/>
  <w:bordersDoNotSurroundFooter w:val="1"/>
  <w:documentProtection w:enforcement="0"/>
  <w:defaultTabStop w:val="420"/>
  <w:drawingGridVerticalSpacing w:val="156"/>
  <w:displayHorizontalDrawingGridEvery w:val="0"/>
  <w:displayVerticalDrawingGridEvery w:val="2"/>
  <w:doNotShadeFormData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2"/>
  </w:compat>
  <w:rsids>
    <w:rsidRoot w:val="00172A27"/>
    <w:rsid w:val="00006792"/>
    <w:rsid w:val="0001018F"/>
    <w:rsid w:val="00013E54"/>
    <w:rsid w:val="000143A3"/>
    <w:rsid w:val="00015652"/>
    <w:rsid w:val="00016D32"/>
    <w:rsid w:val="000265D8"/>
    <w:rsid w:val="00033329"/>
    <w:rsid w:val="00033481"/>
    <w:rsid w:val="000401DD"/>
    <w:rsid w:val="00050F23"/>
    <w:rsid w:val="00052245"/>
    <w:rsid w:val="0007065B"/>
    <w:rsid w:val="00072C69"/>
    <w:rsid w:val="00076CD0"/>
    <w:rsid w:val="00080508"/>
    <w:rsid w:val="00080ADB"/>
    <w:rsid w:val="00097FF1"/>
    <w:rsid w:val="000A0060"/>
    <w:rsid w:val="000A3FA4"/>
    <w:rsid w:val="000A416F"/>
    <w:rsid w:val="000B05BC"/>
    <w:rsid w:val="000B08B8"/>
    <w:rsid w:val="000B4FEA"/>
    <w:rsid w:val="000B6B05"/>
    <w:rsid w:val="000C5656"/>
    <w:rsid w:val="000D67B4"/>
    <w:rsid w:val="000E2339"/>
    <w:rsid w:val="000E35A2"/>
    <w:rsid w:val="000E5545"/>
    <w:rsid w:val="000E56EE"/>
    <w:rsid w:val="000E5C33"/>
    <w:rsid w:val="000F142C"/>
    <w:rsid w:val="000F455C"/>
    <w:rsid w:val="001001C7"/>
    <w:rsid w:val="00114A18"/>
    <w:rsid w:val="00114B6E"/>
    <w:rsid w:val="00115853"/>
    <w:rsid w:val="00116DD7"/>
    <w:rsid w:val="00120E47"/>
    <w:rsid w:val="00122C3D"/>
    <w:rsid w:val="001241FD"/>
    <w:rsid w:val="00130B55"/>
    <w:rsid w:val="0014593C"/>
    <w:rsid w:val="0015082D"/>
    <w:rsid w:val="001616B3"/>
    <w:rsid w:val="00164649"/>
    <w:rsid w:val="00172A27"/>
    <w:rsid w:val="00176A0D"/>
    <w:rsid w:val="00181D6D"/>
    <w:rsid w:val="001A6C09"/>
    <w:rsid w:val="001B2991"/>
    <w:rsid w:val="001C5B41"/>
    <w:rsid w:val="001D5053"/>
    <w:rsid w:val="001E5D0A"/>
    <w:rsid w:val="001E78AB"/>
    <w:rsid w:val="001F1DAB"/>
    <w:rsid w:val="001F6C25"/>
    <w:rsid w:val="002013D8"/>
    <w:rsid w:val="00201990"/>
    <w:rsid w:val="00201A03"/>
    <w:rsid w:val="00201A8B"/>
    <w:rsid w:val="00201B12"/>
    <w:rsid w:val="0020571A"/>
    <w:rsid w:val="002134B3"/>
    <w:rsid w:val="00217C44"/>
    <w:rsid w:val="00224E0B"/>
    <w:rsid w:val="00226C47"/>
    <w:rsid w:val="00232DC5"/>
    <w:rsid w:val="0023301D"/>
    <w:rsid w:val="00233C69"/>
    <w:rsid w:val="002431DB"/>
    <w:rsid w:val="00244753"/>
    <w:rsid w:val="00244D91"/>
    <w:rsid w:val="00246126"/>
    <w:rsid w:val="002476BF"/>
    <w:rsid w:val="00251DD8"/>
    <w:rsid w:val="00256BA5"/>
    <w:rsid w:val="0026140E"/>
    <w:rsid w:val="002620F4"/>
    <w:rsid w:val="00262ABD"/>
    <w:rsid w:val="00263DBA"/>
    <w:rsid w:val="0026485D"/>
    <w:rsid w:val="002676D7"/>
    <w:rsid w:val="00273CC9"/>
    <w:rsid w:val="00274FA6"/>
    <w:rsid w:val="00277C66"/>
    <w:rsid w:val="002834AE"/>
    <w:rsid w:val="0029356C"/>
    <w:rsid w:val="002A55A0"/>
    <w:rsid w:val="002A77BF"/>
    <w:rsid w:val="002B232B"/>
    <w:rsid w:val="002B72CD"/>
    <w:rsid w:val="002D154E"/>
    <w:rsid w:val="002D5F73"/>
    <w:rsid w:val="002E5B21"/>
    <w:rsid w:val="002F113D"/>
    <w:rsid w:val="002F1C50"/>
    <w:rsid w:val="002F210B"/>
    <w:rsid w:val="002F6295"/>
    <w:rsid w:val="0030075F"/>
    <w:rsid w:val="00304F94"/>
    <w:rsid w:val="003059F8"/>
    <w:rsid w:val="00313043"/>
    <w:rsid w:val="00315C72"/>
    <w:rsid w:val="003212BA"/>
    <w:rsid w:val="003321B5"/>
    <w:rsid w:val="00334EC4"/>
    <w:rsid w:val="00337BD0"/>
    <w:rsid w:val="00340376"/>
    <w:rsid w:val="003418F6"/>
    <w:rsid w:val="003422AB"/>
    <w:rsid w:val="00343EB4"/>
    <w:rsid w:val="00350E9C"/>
    <w:rsid w:val="003555FA"/>
    <w:rsid w:val="00355E0A"/>
    <w:rsid w:val="00362021"/>
    <w:rsid w:val="00363F49"/>
    <w:rsid w:val="00365A74"/>
    <w:rsid w:val="00367E11"/>
    <w:rsid w:val="0037255E"/>
    <w:rsid w:val="00372B93"/>
    <w:rsid w:val="00376488"/>
    <w:rsid w:val="00386F2E"/>
    <w:rsid w:val="00387EE7"/>
    <w:rsid w:val="00393222"/>
    <w:rsid w:val="00396853"/>
    <w:rsid w:val="003A78DE"/>
    <w:rsid w:val="003B00D1"/>
    <w:rsid w:val="003B2D47"/>
    <w:rsid w:val="003D0F0B"/>
    <w:rsid w:val="003D3842"/>
    <w:rsid w:val="003E3E43"/>
    <w:rsid w:val="003E6791"/>
    <w:rsid w:val="003F1BD4"/>
    <w:rsid w:val="003F304C"/>
    <w:rsid w:val="0040064B"/>
    <w:rsid w:val="004009D1"/>
    <w:rsid w:val="0040513B"/>
    <w:rsid w:val="0041385C"/>
    <w:rsid w:val="00413C58"/>
    <w:rsid w:val="00414501"/>
    <w:rsid w:val="00423A69"/>
    <w:rsid w:val="004345C3"/>
    <w:rsid w:val="004379B2"/>
    <w:rsid w:val="00444AFA"/>
    <w:rsid w:val="00454359"/>
    <w:rsid w:val="00463525"/>
    <w:rsid w:val="00463FB1"/>
    <w:rsid w:val="00474BFE"/>
    <w:rsid w:val="004758C5"/>
    <w:rsid w:val="00481B17"/>
    <w:rsid w:val="0048443F"/>
    <w:rsid w:val="004860C0"/>
    <w:rsid w:val="00492413"/>
    <w:rsid w:val="004A08B9"/>
    <w:rsid w:val="004B7F75"/>
    <w:rsid w:val="004C1144"/>
    <w:rsid w:val="004C704C"/>
    <w:rsid w:val="004D52B2"/>
    <w:rsid w:val="004D5753"/>
    <w:rsid w:val="004E0F4B"/>
    <w:rsid w:val="004E533C"/>
    <w:rsid w:val="004E57B4"/>
    <w:rsid w:val="004E71CB"/>
    <w:rsid w:val="004E7CC1"/>
    <w:rsid w:val="004F0D12"/>
    <w:rsid w:val="004F67A5"/>
    <w:rsid w:val="004F7D71"/>
    <w:rsid w:val="00504073"/>
    <w:rsid w:val="00504B60"/>
    <w:rsid w:val="005110B4"/>
    <w:rsid w:val="005149BB"/>
    <w:rsid w:val="00517AFD"/>
    <w:rsid w:val="00520ADF"/>
    <w:rsid w:val="0052338A"/>
    <w:rsid w:val="00524E59"/>
    <w:rsid w:val="005313E5"/>
    <w:rsid w:val="00536EC0"/>
    <w:rsid w:val="00540870"/>
    <w:rsid w:val="00542518"/>
    <w:rsid w:val="005607B2"/>
    <w:rsid w:val="0057274F"/>
    <w:rsid w:val="00585FAE"/>
    <w:rsid w:val="005976BD"/>
    <w:rsid w:val="005A57DE"/>
    <w:rsid w:val="005B0CCA"/>
    <w:rsid w:val="005B47D6"/>
    <w:rsid w:val="005C2603"/>
    <w:rsid w:val="005C2C35"/>
    <w:rsid w:val="005C5190"/>
    <w:rsid w:val="005C7D12"/>
    <w:rsid w:val="005C7F19"/>
    <w:rsid w:val="005D2457"/>
    <w:rsid w:val="005E013E"/>
    <w:rsid w:val="005F1708"/>
    <w:rsid w:val="005F463D"/>
    <w:rsid w:val="005F6C4F"/>
    <w:rsid w:val="00600D08"/>
    <w:rsid w:val="006133E8"/>
    <w:rsid w:val="0061496A"/>
    <w:rsid w:val="00620FF3"/>
    <w:rsid w:val="006319CB"/>
    <w:rsid w:val="00631DB1"/>
    <w:rsid w:val="00633709"/>
    <w:rsid w:val="00634837"/>
    <w:rsid w:val="006400B5"/>
    <w:rsid w:val="006414F1"/>
    <w:rsid w:val="00651EC7"/>
    <w:rsid w:val="0065203F"/>
    <w:rsid w:val="00654294"/>
    <w:rsid w:val="00662DA1"/>
    <w:rsid w:val="006668C2"/>
    <w:rsid w:val="00672A66"/>
    <w:rsid w:val="00673552"/>
    <w:rsid w:val="006744E1"/>
    <w:rsid w:val="00677B6F"/>
    <w:rsid w:val="00684F8A"/>
    <w:rsid w:val="006902ED"/>
    <w:rsid w:val="0069403D"/>
    <w:rsid w:val="006A0B11"/>
    <w:rsid w:val="006A17E0"/>
    <w:rsid w:val="006C2279"/>
    <w:rsid w:val="006C28A5"/>
    <w:rsid w:val="006C5EFD"/>
    <w:rsid w:val="006D01A6"/>
    <w:rsid w:val="006D03D7"/>
    <w:rsid w:val="006D0B9E"/>
    <w:rsid w:val="006D6917"/>
    <w:rsid w:val="006D7F2F"/>
    <w:rsid w:val="006E0FB2"/>
    <w:rsid w:val="006E205E"/>
    <w:rsid w:val="006F2322"/>
    <w:rsid w:val="006F4A56"/>
    <w:rsid w:val="006F7AAB"/>
    <w:rsid w:val="00700E76"/>
    <w:rsid w:val="0070156A"/>
    <w:rsid w:val="00702866"/>
    <w:rsid w:val="0070561E"/>
    <w:rsid w:val="00721B2C"/>
    <w:rsid w:val="00723D6A"/>
    <w:rsid w:val="00736E06"/>
    <w:rsid w:val="007414E2"/>
    <w:rsid w:val="00741A7E"/>
    <w:rsid w:val="00745583"/>
    <w:rsid w:val="00753E22"/>
    <w:rsid w:val="0076066D"/>
    <w:rsid w:val="00761145"/>
    <w:rsid w:val="007641DB"/>
    <w:rsid w:val="0076526B"/>
    <w:rsid w:val="00773032"/>
    <w:rsid w:val="0077624D"/>
    <w:rsid w:val="00776845"/>
    <w:rsid w:val="00777997"/>
    <w:rsid w:val="007812BD"/>
    <w:rsid w:val="00787AFD"/>
    <w:rsid w:val="007904DA"/>
    <w:rsid w:val="007907A9"/>
    <w:rsid w:val="007A01F0"/>
    <w:rsid w:val="007A73A3"/>
    <w:rsid w:val="007C0573"/>
    <w:rsid w:val="007C3018"/>
    <w:rsid w:val="007C4650"/>
    <w:rsid w:val="007C52BA"/>
    <w:rsid w:val="007C6CA4"/>
    <w:rsid w:val="007D07F5"/>
    <w:rsid w:val="007D7346"/>
    <w:rsid w:val="007E1EF8"/>
    <w:rsid w:val="007E4191"/>
    <w:rsid w:val="007F4F9C"/>
    <w:rsid w:val="007F668F"/>
    <w:rsid w:val="007F71B6"/>
    <w:rsid w:val="00806556"/>
    <w:rsid w:val="008075D2"/>
    <w:rsid w:val="00811F29"/>
    <w:rsid w:val="00812D67"/>
    <w:rsid w:val="008165A4"/>
    <w:rsid w:val="00817CD2"/>
    <w:rsid w:val="0082007D"/>
    <w:rsid w:val="00820B83"/>
    <w:rsid w:val="00821402"/>
    <w:rsid w:val="0082170B"/>
    <w:rsid w:val="0082181E"/>
    <w:rsid w:val="00827716"/>
    <w:rsid w:val="00835C03"/>
    <w:rsid w:val="00837D9F"/>
    <w:rsid w:val="00842A24"/>
    <w:rsid w:val="008433E1"/>
    <w:rsid w:val="0084589D"/>
    <w:rsid w:val="0085062F"/>
    <w:rsid w:val="008510C9"/>
    <w:rsid w:val="008743DA"/>
    <w:rsid w:val="00875228"/>
    <w:rsid w:val="008800B5"/>
    <w:rsid w:val="008811B2"/>
    <w:rsid w:val="00885BC2"/>
    <w:rsid w:val="008872D8"/>
    <w:rsid w:val="00894663"/>
    <w:rsid w:val="00895812"/>
    <w:rsid w:val="008B0253"/>
    <w:rsid w:val="008B22D0"/>
    <w:rsid w:val="008B517D"/>
    <w:rsid w:val="008B5BC7"/>
    <w:rsid w:val="008C3F38"/>
    <w:rsid w:val="008C560F"/>
    <w:rsid w:val="008D0046"/>
    <w:rsid w:val="008D5689"/>
    <w:rsid w:val="008D6F7B"/>
    <w:rsid w:val="008F405F"/>
    <w:rsid w:val="008F7DE3"/>
    <w:rsid w:val="00900CA0"/>
    <w:rsid w:val="00903F57"/>
    <w:rsid w:val="009145E6"/>
    <w:rsid w:val="009153D0"/>
    <w:rsid w:val="00915CF2"/>
    <w:rsid w:val="00917FF4"/>
    <w:rsid w:val="00920C67"/>
    <w:rsid w:val="0092267A"/>
    <w:rsid w:val="00922878"/>
    <w:rsid w:val="0092288A"/>
    <w:rsid w:val="00924AC5"/>
    <w:rsid w:val="009259E5"/>
    <w:rsid w:val="00927B97"/>
    <w:rsid w:val="00930364"/>
    <w:rsid w:val="00934C9A"/>
    <w:rsid w:val="0093746E"/>
    <w:rsid w:val="009538DA"/>
    <w:rsid w:val="00954AE1"/>
    <w:rsid w:val="009555F6"/>
    <w:rsid w:val="0096716C"/>
    <w:rsid w:val="00967EC4"/>
    <w:rsid w:val="009700B5"/>
    <w:rsid w:val="009719B0"/>
    <w:rsid w:val="00986406"/>
    <w:rsid w:val="00992E85"/>
    <w:rsid w:val="00993820"/>
    <w:rsid w:val="00993B0B"/>
    <w:rsid w:val="00993C47"/>
    <w:rsid w:val="009A191E"/>
    <w:rsid w:val="009A1C02"/>
    <w:rsid w:val="009A603B"/>
    <w:rsid w:val="009A725E"/>
    <w:rsid w:val="009B2355"/>
    <w:rsid w:val="009B3208"/>
    <w:rsid w:val="009B38CD"/>
    <w:rsid w:val="009B4329"/>
    <w:rsid w:val="009B5EF2"/>
    <w:rsid w:val="009B7819"/>
    <w:rsid w:val="009C7E69"/>
    <w:rsid w:val="009D76D4"/>
    <w:rsid w:val="009E2A78"/>
    <w:rsid w:val="009F17E2"/>
    <w:rsid w:val="009F52A0"/>
    <w:rsid w:val="009F5CDB"/>
    <w:rsid w:val="00A04036"/>
    <w:rsid w:val="00A142CD"/>
    <w:rsid w:val="00A173ED"/>
    <w:rsid w:val="00A17BD4"/>
    <w:rsid w:val="00A20BD8"/>
    <w:rsid w:val="00A2120A"/>
    <w:rsid w:val="00A2336D"/>
    <w:rsid w:val="00A25752"/>
    <w:rsid w:val="00A27075"/>
    <w:rsid w:val="00A336D7"/>
    <w:rsid w:val="00A34500"/>
    <w:rsid w:val="00A35F86"/>
    <w:rsid w:val="00A43176"/>
    <w:rsid w:val="00A432E7"/>
    <w:rsid w:val="00A4545A"/>
    <w:rsid w:val="00A53860"/>
    <w:rsid w:val="00A60200"/>
    <w:rsid w:val="00A728CB"/>
    <w:rsid w:val="00A80C1D"/>
    <w:rsid w:val="00A81E17"/>
    <w:rsid w:val="00A826E5"/>
    <w:rsid w:val="00A82BA1"/>
    <w:rsid w:val="00A85424"/>
    <w:rsid w:val="00A95603"/>
    <w:rsid w:val="00AA24FD"/>
    <w:rsid w:val="00AA5C19"/>
    <w:rsid w:val="00AB0308"/>
    <w:rsid w:val="00AB53BD"/>
    <w:rsid w:val="00AB7D1F"/>
    <w:rsid w:val="00AC01B7"/>
    <w:rsid w:val="00AC18CE"/>
    <w:rsid w:val="00AC195A"/>
    <w:rsid w:val="00AC1BDD"/>
    <w:rsid w:val="00AC2A16"/>
    <w:rsid w:val="00AC3AF0"/>
    <w:rsid w:val="00AC6F3E"/>
    <w:rsid w:val="00AD1F8B"/>
    <w:rsid w:val="00AD3CC8"/>
    <w:rsid w:val="00AE6D60"/>
    <w:rsid w:val="00B17EBC"/>
    <w:rsid w:val="00B24843"/>
    <w:rsid w:val="00B274C3"/>
    <w:rsid w:val="00B313A4"/>
    <w:rsid w:val="00B35F4E"/>
    <w:rsid w:val="00B41A43"/>
    <w:rsid w:val="00B46650"/>
    <w:rsid w:val="00B61328"/>
    <w:rsid w:val="00B6504B"/>
    <w:rsid w:val="00B72FBC"/>
    <w:rsid w:val="00B75495"/>
    <w:rsid w:val="00B76F93"/>
    <w:rsid w:val="00B86F3E"/>
    <w:rsid w:val="00BA019F"/>
    <w:rsid w:val="00BB0560"/>
    <w:rsid w:val="00BB314B"/>
    <w:rsid w:val="00BC2DD7"/>
    <w:rsid w:val="00BD3D2E"/>
    <w:rsid w:val="00BE2022"/>
    <w:rsid w:val="00BE4B28"/>
    <w:rsid w:val="00BF0929"/>
    <w:rsid w:val="00BF0E44"/>
    <w:rsid w:val="00BF2AE5"/>
    <w:rsid w:val="00BF2BB5"/>
    <w:rsid w:val="00C012AC"/>
    <w:rsid w:val="00C06D34"/>
    <w:rsid w:val="00C12022"/>
    <w:rsid w:val="00C24F5B"/>
    <w:rsid w:val="00C26588"/>
    <w:rsid w:val="00C27587"/>
    <w:rsid w:val="00C33893"/>
    <w:rsid w:val="00C4258E"/>
    <w:rsid w:val="00C45EEA"/>
    <w:rsid w:val="00C45FEB"/>
    <w:rsid w:val="00C552AD"/>
    <w:rsid w:val="00C5640B"/>
    <w:rsid w:val="00C567FF"/>
    <w:rsid w:val="00C60548"/>
    <w:rsid w:val="00C607C2"/>
    <w:rsid w:val="00C66FF3"/>
    <w:rsid w:val="00C74700"/>
    <w:rsid w:val="00C75D42"/>
    <w:rsid w:val="00C76AFA"/>
    <w:rsid w:val="00C77FE5"/>
    <w:rsid w:val="00C825E2"/>
    <w:rsid w:val="00C87679"/>
    <w:rsid w:val="00C87ABD"/>
    <w:rsid w:val="00C91C8C"/>
    <w:rsid w:val="00C95209"/>
    <w:rsid w:val="00CA0807"/>
    <w:rsid w:val="00CB25D9"/>
    <w:rsid w:val="00CB4EED"/>
    <w:rsid w:val="00CC4B7E"/>
    <w:rsid w:val="00CC7CEE"/>
    <w:rsid w:val="00CD2A66"/>
    <w:rsid w:val="00CD3A66"/>
    <w:rsid w:val="00CF0923"/>
    <w:rsid w:val="00CF42B7"/>
    <w:rsid w:val="00D002B7"/>
    <w:rsid w:val="00D00BE4"/>
    <w:rsid w:val="00D01383"/>
    <w:rsid w:val="00D0441B"/>
    <w:rsid w:val="00D05D1C"/>
    <w:rsid w:val="00D13E74"/>
    <w:rsid w:val="00D15E01"/>
    <w:rsid w:val="00D22120"/>
    <w:rsid w:val="00D362E1"/>
    <w:rsid w:val="00D36A75"/>
    <w:rsid w:val="00D4728E"/>
    <w:rsid w:val="00D50FA7"/>
    <w:rsid w:val="00D70C95"/>
    <w:rsid w:val="00D77F97"/>
    <w:rsid w:val="00D8150D"/>
    <w:rsid w:val="00D832FD"/>
    <w:rsid w:val="00D943A0"/>
    <w:rsid w:val="00DA32E5"/>
    <w:rsid w:val="00DA4A3D"/>
    <w:rsid w:val="00DA5558"/>
    <w:rsid w:val="00DA6030"/>
    <w:rsid w:val="00DB065F"/>
    <w:rsid w:val="00DB2F58"/>
    <w:rsid w:val="00DB7071"/>
    <w:rsid w:val="00DB7AC6"/>
    <w:rsid w:val="00DB7DB1"/>
    <w:rsid w:val="00DC14FA"/>
    <w:rsid w:val="00DC6E83"/>
    <w:rsid w:val="00DC7D3E"/>
    <w:rsid w:val="00DD4724"/>
    <w:rsid w:val="00DE05FC"/>
    <w:rsid w:val="00DE1FA4"/>
    <w:rsid w:val="00DE3D7E"/>
    <w:rsid w:val="00DF12C0"/>
    <w:rsid w:val="00DF482B"/>
    <w:rsid w:val="00DF4AE1"/>
    <w:rsid w:val="00DF5334"/>
    <w:rsid w:val="00E05772"/>
    <w:rsid w:val="00E05800"/>
    <w:rsid w:val="00E0735E"/>
    <w:rsid w:val="00E11F06"/>
    <w:rsid w:val="00E141A5"/>
    <w:rsid w:val="00E2421F"/>
    <w:rsid w:val="00E248C6"/>
    <w:rsid w:val="00E314EA"/>
    <w:rsid w:val="00E328D7"/>
    <w:rsid w:val="00E426B3"/>
    <w:rsid w:val="00E42F8E"/>
    <w:rsid w:val="00E45D3F"/>
    <w:rsid w:val="00E51819"/>
    <w:rsid w:val="00E5587C"/>
    <w:rsid w:val="00E632D5"/>
    <w:rsid w:val="00E63488"/>
    <w:rsid w:val="00E64C46"/>
    <w:rsid w:val="00E6693C"/>
    <w:rsid w:val="00E70BA6"/>
    <w:rsid w:val="00E74174"/>
    <w:rsid w:val="00E910EC"/>
    <w:rsid w:val="00E95BA4"/>
    <w:rsid w:val="00E9761A"/>
    <w:rsid w:val="00EA13C0"/>
    <w:rsid w:val="00EA2611"/>
    <w:rsid w:val="00EB3F2C"/>
    <w:rsid w:val="00EC1667"/>
    <w:rsid w:val="00EC5623"/>
    <w:rsid w:val="00EC7D8E"/>
    <w:rsid w:val="00ED20E3"/>
    <w:rsid w:val="00ED6C57"/>
    <w:rsid w:val="00EE2E69"/>
    <w:rsid w:val="00EF048C"/>
    <w:rsid w:val="00EF3BD1"/>
    <w:rsid w:val="00F00E9B"/>
    <w:rsid w:val="00F04856"/>
    <w:rsid w:val="00F12303"/>
    <w:rsid w:val="00F13F62"/>
    <w:rsid w:val="00F201B7"/>
    <w:rsid w:val="00F22574"/>
    <w:rsid w:val="00F274FE"/>
    <w:rsid w:val="00F372EF"/>
    <w:rsid w:val="00F42160"/>
    <w:rsid w:val="00F471D3"/>
    <w:rsid w:val="00F4791A"/>
    <w:rsid w:val="00F62232"/>
    <w:rsid w:val="00F62BAC"/>
    <w:rsid w:val="00F67113"/>
    <w:rsid w:val="00F73FC1"/>
    <w:rsid w:val="00F77BA8"/>
    <w:rsid w:val="00F80DEB"/>
    <w:rsid w:val="00F832EF"/>
    <w:rsid w:val="00F84C08"/>
    <w:rsid w:val="00F91BE7"/>
    <w:rsid w:val="00FA3DF7"/>
    <w:rsid w:val="00FA5B58"/>
    <w:rsid w:val="00FA6608"/>
    <w:rsid w:val="00FB16A5"/>
    <w:rsid w:val="00FB70F5"/>
    <w:rsid w:val="00FC06A8"/>
    <w:rsid w:val="00FC6DC8"/>
    <w:rsid w:val="00FD0B8A"/>
    <w:rsid w:val="00FD1E7C"/>
    <w:rsid w:val="00FD2687"/>
    <w:rsid w:val="00FD3777"/>
    <w:rsid w:val="00FD444A"/>
    <w:rsid w:val="00FD6EBB"/>
    <w:rsid w:val="00FD70EB"/>
    <w:rsid w:val="00FE377D"/>
    <w:rsid w:val="00FE4658"/>
    <w:rsid w:val="00FE5480"/>
    <w:rsid w:val="00FE7F2C"/>
    <w:rsid w:val="00FF0A2F"/>
    <w:rsid w:val="00FF2750"/>
    <w:rsid w:val="07A93314"/>
    <w:rsid w:val="2979038D"/>
    <w:rsid w:val="40451E3B"/>
    <w:rsid w:val="43131F8E"/>
    <w:rsid w:val="5FFC1D7E"/>
    <w:rsid w:val="6345694E"/>
    <w:rsid w:val="DFAB2D1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39" w:semiHidden="0" w:name="toc 1"/>
    <w:lsdException w:unhideWhenUsed="0" w:uiPriority="39" w:semiHidden="0" w:name="toc 2"/>
    <w:lsdException w:unhideWhenUsed="0" w:uiPriority="0"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nhideWhenUsed="0" w:uiPriority="0" w:semiHidden="0" w:name="header"/>
    <w:lsdException w:unhideWhenUsed="0" w:uiPriority="0" w:semiHidden="0" w:name="footer"/>
    <w:lsdException w:uiPriority="99" w:name="index heading"/>
    <w:lsdException w:qFormat="1" w:uiPriority="35" w:semiHidden="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nhideWhenUsed="0" w:uiPriority="0" w:semiHidden="0" w:name="Body Text Indent 3"/>
    <w:lsdException w:uiPriority="99" w:name="Block Text"/>
    <w:lsdException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宋体"/>
      <w:sz w:val="24"/>
      <w:szCs w:val="24"/>
      <w:lang w:val="en-US" w:eastAsia="zh-CN" w:bidi="ar-SA"/>
    </w:rPr>
  </w:style>
  <w:style w:type="paragraph" w:styleId="2">
    <w:name w:val="heading 1"/>
    <w:basedOn w:val="1"/>
    <w:next w:val="1"/>
    <w:link w:val="25"/>
    <w:qFormat/>
    <w:uiPriority w:val="9"/>
    <w:pPr>
      <w:keepNext/>
      <w:keepLines/>
      <w:spacing w:before="340" w:after="330" w:line="578" w:lineRule="auto"/>
      <w:outlineLvl w:val="0"/>
    </w:pPr>
    <w:rPr>
      <w:rFonts w:ascii="Times New Roman" w:hAnsi="Times New Roman" w:cs="Times New Roman"/>
      <w:b/>
      <w:bCs/>
      <w:kern w:val="44"/>
      <w:sz w:val="44"/>
      <w:szCs w:val="44"/>
    </w:rPr>
  </w:style>
  <w:style w:type="paragraph" w:styleId="3">
    <w:name w:val="heading 2"/>
    <w:basedOn w:val="1"/>
    <w:next w:val="1"/>
    <w:link w:val="24"/>
    <w:unhideWhenUsed/>
    <w:qFormat/>
    <w:uiPriority w:val="9"/>
    <w:pPr>
      <w:keepNext/>
      <w:keepLines/>
      <w:spacing w:before="260" w:after="260" w:line="416" w:lineRule="auto"/>
      <w:outlineLvl w:val="1"/>
    </w:pPr>
    <w:rPr>
      <w:rFonts w:ascii="Calibri Light" w:hAnsi="Calibri Light" w:cs="Times New Roman"/>
      <w:b/>
      <w:bCs/>
      <w:kern w:val="2"/>
      <w:sz w:val="32"/>
      <w:szCs w:val="32"/>
    </w:rPr>
  </w:style>
  <w:style w:type="paragraph" w:styleId="4">
    <w:name w:val="heading 3"/>
    <w:basedOn w:val="1"/>
    <w:next w:val="1"/>
    <w:link w:val="26"/>
    <w:semiHidden/>
    <w:unhideWhenUsed/>
    <w:qFormat/>
    <w:uiPriority w:val="9"/>
    <w:pPr>
      <w:keepNext/>
      <w:keepLines/>
      <w:spacing w:before="260" w:after="260" w:line="416" w:lineRule="auto"/>
      <w:outlineLvl w:val="2"/>
    </w:pPr>
    <w:rPr>
      <w:rFonts w:ascii="Times New Roman" w:hAnsi="Times New Roman" w:cs="Times New Roman"/>
      <w:b/>
      <w:bCs/>
      <w:kern w:val="2"/>
      <w:sz w:val="32"/>
      <w:szCs w:val="32"/>
    </w:rPr>
  </w:style>
  <w:style w:type="paragraph" w:styleId="5">
    <w:name w:val="heading 4"/>
    <w:basedOn w:val="1"/>
    <w:next w:val="1"/>
    <w:link w:val="27"/>
    <w:semiHidden/>
    <w:unhideWhenUsed/>
    <w:qFormat/>
    <w:uiPriority w:val="9"/>
    <w:pPr>
      <w:keepNext/>
      <w:keepLines/>
      <w:spacing w:before="280" w:after="290" w:line="376" w:lineRule="auto"/>
      <w:outlineLvl w:val="3"/>
    </w:pPr>
    <w:rPr>
      <w:rFonts w:ascii="Calibri Light" w:hAnsi="Calibri Light" w:cs="Times New Roman"/>
      <w:b/>
      <w:bCs/>
      <w:kern w:val="2"/>
      <w:sz w:val="28"/>
      <w:szCs w:val="28"/>
    </w:rPr>
  </w:style>
  <w:style w:type="character" w:default="1" w:styleId="17">
    <w:name w:val="Default Paragraph Font"/>
    <w:semiHidden/>
    <w:unhideWhenUsed/>
    <w:uiPriority w:val="1"/>
  </w:style>
  <w:style w:type="table" w:default="1" w:styleId="15">
    <w:name w:val="Normal Table"/>
    <w:semiHidden/>
    <w:unhideWhenUsed/>
    <w:qFormat/>
    <w:uiPriority w:val="99"/>
    <w:tblPr>
      <w:tblLayout w:type="fixed"/>
      <w:tblCellMar>
        <w:top w:w="0" w:type="dxa"/>
        <w:left w:w="108" w:type="dxa"/>
        <w:bottom w:w="0" w:type="dxa"/>
        <w:right w:w="108" w:type="dxa"/>
      </w:tblCellMar>
    </w:tblPr>
  </w:style>
  <w:style w:type="paragraph" w:styleId="6">
    <w:name w:val="caption"/>
    <w:basedOn w:val="1"/>
    <w:next w:val="1"/>
    <w:unhideWhenUsed/>
    <w:qFormat/>
    <w:uiPriority w:val="35"/>
    <w:rPr>
      <w:rFonts w:ascii="Cambria" w:hAnsi="Cambria" w:eastAsia="黑体" w:cs="Times New Roman"/>
      <w:sz w:val="20"/>
      <w:szCs w:val="20"/>
    </w:rPr>
  </w:style>
  <w:style w:type="paragraph" w:styleId="7">
    <w:name w:val="toc 3"/>
    <w:basedOn w:val="1"/>
    <w:next w:val="1"/>
    <w:uiPriority w:val="0"/>
    <w:pPr>
      <w:ind w:left="840" w:leftChars="400"/>
    </w:pPr>
  </w:style>
  <w:style w:type="paragraph" w:styleId="8">
    <w:name w:val="Balloon Text"/>
    <w:basedOn w:val="1"/>
    <w:uiPriority w:val="0"/>
    <w:rPr>
      <w:sz w:val="18"/>
      <w:szCs w:val="18"/>
    </w:rPr>
  </w:style>
  <w:style w:type="paragraph" w:styleId="9">
    <w:name w:val="footer"/>
    <w:basedOn w:val="1"/>
    <w:uiPriority w:val="0"/>
    <w:pPr>
      <w:tabs>
        <w:tab w:val="center" w:pos="4153"/>
        <w:tab w:val="right" w:pos="8306"/>
      </w:tabs>
      <w:snapToGrid w:val="0"/>
    </w:pPr>
    <w:rPr>
      <w:sz w:val="18"/>
      <w:szCs w:val="18"/>
    </w:rPr>
  </w:style>
  <w:style w:type="paragraph" w:styleId="10">
    <w:name w:val="header"/>
    <w:basedOn w:val="1"/>
    <w:uiPriority w:val="0"/>
    <w:pPr>
      <w:pBdr>
        <w:bottom w:val="single" w:color="auto" w:sz="6" w:space="1"/>
      </w:pBdr>
      <w:tabs>
        <w:tab w:val="center" w:pos="4153"/>
        <w:tab w:val="right" w:pos="8306"/>
      </w:tabs>
      <w:snapToGrid w:val="0"/>
      <w:jc w:val="center"/>
    </w:pPr>
    <w:rPr>
      <w:rFonts w:ascii="Plotter" w:hAnsi="Plotter"/>
      <w:sz w:val="18"/>
      <w:szCs w:val="20"/>
    </w:rPr>
  </w:style>
  <w:style w:type="paragraph" w:styleId="11">
    <w:name w:val="toc 1"/>
    <w:basedOn w:val="1"/>
    <w:next w:val="1"/>
    <w:uiPriority w:val="39"/>
    <w:rPr>
      <w:bCs/>
      <w:caps/>
      <w:szCs w:val="20"/>
    </w:rPr>
  </w:style>
  <w:style w:type="paragraph" w:styleId="12">
    <w:name w:val="Subtitle"/>
    <w:basedOn w:val="1"/>
    <w:next w:val="1"/>
    <w:link w:val="28"/>
    <w:qFormat/>
    <w:uiPriority w:val="11"/>
    <w:pPr>
      <w:spacing w:before="240" w:after="60" w:line="312" w:lineRule="auto"/>
      <w:jc w:val="center"/>
      <w:outlineLvl w:val="1"/>
    </w:pPr>
    <w:rPr>
      <w:rFonts w:ascii="Calibri Light" w:hAnsi="Calibri Light" w:cs="Times New Roman"/>
      <w:b/>
      <w:bCs/>
      <w:kern w:val="28"/>
      <w:sz w:val="32"/>
      <w:szCs w:val="32"/>
    </w:rPr>
  </w:style>
  <w:style w:type="paragraph" w:styleId="13">
    <w:name w:val="Body Text Indent 3"/>
    <w:basedOn w:val="1"/>
    <w:link w:val="20"/>
    <w:uiPriority w:val="0"/>
    <w:pPr>
      <w:spacing w:line="360" w:lineRule="auto"/>
      <w:ind w:left="360"/>
    </w:pPr>
    <w:rPr>
      <w:rFonts w:cs="Times New Roman"/>
      <w:kern w:val="2"/>
    </w:rPr>
  </w:style>
  <w:style w:type="paragraph" w:styleId="14">
    <w:name w:val="toc 2"/>
    <w:basedOn w:val="1"/>
    <w:next w:val="1"/>
    <w:uiPriority w:val="39"/>
    <w:pPr>
      <w:ind w:left="420" w:leftChars="200"/>
    </w:pPr>
  </w:style>
  <w:style w:type="table" w:styleId="16">
    <w:name w:val="Table Grid"/>
    <w:basedOn w:val="15"/>
    <w:qFormat/>
    <w:uiPriority w:val="59"/>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8">
    <w:name w:val="page number"/>
    <w:basedOn w:val="17"/>
    <w:uiPriority w:val="0"/>
  </w:style>
  <w:style w:type="character" w:styleId="19">
    <w:name w:val="Hyperlink"/>
    <w:uiPriority w:val="99"/>
    <w:rPr>
      <w:color w:val="0000FF"/>
      <w:u w:val="single"/>
    </w:rPr>
  </w:style>
  <w:style w:type="character" w:customStyle="1" w:styleId="20">
    <w:name w:val="正文文本缩进 3 Char"/>
    <w:link w:val="13"/>
    <w:uiPriority w:val="0"/>
    <w:rPr>
      <w:rFonts w:ascii="宋体" w:hAnsi="宋体"/>
      <w:kern w:val="2"/>
      <w:sz w:val="24"/>
      <w:szCs w:val="24"/>
    </w:rPr>
  </w:style>
  <w:style w:type="paragraph" w:customStyle="1" w:styleId="21">
    <w:name w:val="Char Char Char Char Char Char"/>
    <w:basedOn w:val="1"/>
    <w:uiPriority w:val="0"/>
  </w:style>
  <w:style w:type="paragraph" w:customStyle="1" w:styleId="22">
    <w:name w:val="Revision"/>
    <w:semiHidden/>
    <w:uiPriority w:val="99"/>
    <w:rPr>
      <w:rFonts w:ascii="Times New Roman" w:hAnsi="Times New Roman" w:eastAsia="宋体" w:cs="Times New Roman"/>
      <w:kern w:val="2"/>
      <w:sz w:val="21"/>
      <w:szCs w:val="24"/>
      <w:lang w:val="en-US" w:eastAsia="zh-CN" w:bidi="ar-SA"/>
    </w:rPr>
  </w:style>
  <w:style w:type="paragraph" w:styleId="23">
    <w:name w:val="List Paragraph"/>
    <w:basedOn w:val="1"/>
    <w:qFormat/>
    <w:uiPriority w:val="34"/>
    <w:pPr>
      <w:ind w:firstLine="420" w:firstLineChars="200"/>
    </w:pPr>
    <w:rPr>
      <w:rFonts w:ascii="Calibri" w:hAnsi="Calibri" w:cs="Times New Roman"/>
      <w:szCs w:val="22"/>
    </w:rPr>
  </w:style>
  <w:style w:type="character" w:customStyle="1" w:styleId="24">
    <w:name w:val="标题 2 Char"/>
    <w:link w:val="3"/>
    <w:uiPriority w:val="9"/>
    <w:rPr>
      <w:rFonts w:ascii="Calibri Light" w:hAnsi="Calibri Light" w:eastAsia="宋体" w:cs="Times New Roman"/>
      <w:b/>
      <w:bCs/>
      <w:kern w:val="2"/>
      <w:sz w:val="32"/>
      <w:szCs w:val="32"/>
    </w:rPr>
  </w:style>
  <w:style w:type="character" w:customStyle="1" w:styleId="25">
    <w:name w:val="标题 1 Char"/>
    <w:link w:val="2"/>
    <w:uiPriority w:val="9"/>
    <w:rPr>
      <w:b/>
      <w:bCs/>
      <w:kern w:val="44"/>
      <w:sz w:val="44"/>
      <w:szCs w:val="44"/>
    </w:rPr>
  </w:style>
  <w:style w:type="character" w:customStyle="1" w:styleId="26">
    <w:name w:val="标题 3 Char"/>
    <w:link w:val="4"/>
    <w:semiHidden/>
    <w:uiPriority w:val="9"/>
    <w:rPr>
      <w:b/>
      <w:bCs/>
      <w:kern w:val="2"/>
      <w:sz w:val="32"/>
      <w:szCs w:val="32"/>
    </w:rPr>
  </w:style>
  <w:style w:type="character" w:customStyle="1" w:styleId="27">
    <w:name w:val="标题 4 Char"/>
    <w:link w:val="5"/>
    <w:semiHidden/>
    <w:uiPriority w:val="9"/>
    <w:rPr>
      <w:rFonts w:ascii="Calibri Light" w:hAnsi="Calibri Light" w:eastAsia="宋体" w:cs="Times New Roman"/>
      <w:b/>
      <w:bCs/>
      <w:kern w:val="2"/>
      <w:sz w:val="28"/>
      <w:szCs w:val="28"/>
    </w:rPr>
  </w:style>
  <w:style w:type="character" w:customStyle="1" w:styleId="28">
    <w:name w:val="副标题 Char"/>
    <w:link w:val="12"/>
    <w:uiPriority w:val="11"/>
    <w:rPr>
      <w:rFonts w:ascii="Calibri Light" w:hAnsi="Calibri Light" w:cs="Times New Roman"/>
      <w:b/>
      <w:bCs/>
      <w:kern w:val="28"/>
      <w:sz w:val="32"/>
      <w:szCs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Company>Microsoft</Company>
  <Pages>7</Pages>
  <Words>438</Words>
  <Characters>2498</Characters>
  <Lines>20</Lines>
  <Paragraphs>5</Paragraphs>
  <TotalTime>28</TotalTime>
  <ScaleCrop>false</ScaleCrop>
  <LinksUpToDate>false</LinksUpToDate>
  <CharactersWithSpaces>2931</CharactersWithSpaces>
  <Application>WWO_base_provider_20210929220102-c9fcf70066</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2022-09-27T08:28:00Z</dcterms:created>
  <dc:creator>刘伟祥</dc:creator>
  <cp:lastModifiedBy>姚东军</cp:lastModifiedBy>
  <cp:lastPrinted>2019-11-22T09:23:00Z</cp:lastPrinted>
  <dcterms:modified xsi:type="dcterms:W3CDTF">2022-09-27T09:57:55Z</dcterms:modified>
  <dc:title>文件版本：</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2052-0.0.0.0</vt:lpwstr>
  </property>
</Properties>
</file>